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8FAE" w14:textId="77777777" w:rsidR="007A24CE" w:rsidRPr="003117B3" w:rsidRDefault="007A24CE" w:rsidP="007A24CE">
      <w:pPr>
        <w:spacing w:line="276" w:lineRule="auto"/>
        <w:jc w:val="center"/>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Tabel de 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5852"/>
      </w:tblGrid>
      <w:tr w:rsidR="007A24CE" w:rsidRPr="00824567" w14:paraId="52BE415D"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ACF43" w14:textId="0B0F9E17" w:rsidR="007A24CE" w:rsidRPr="007A24CE" w:rsidRDefault="007A24CE" w:rsidP="003228C3">
            <w:pPr>
              <w:spacing w:after="0" w:line="276" w:lineRule="auto"/>
              <w:jc w:val="both"/>
              <w:rPr>
                <w:rFonts w:ascii="Times New Roman" w:eastAsia="Times New Roman" w:hAnsi="Times New Roman" w:cs="Times New Roman"/>
                <w:color w:val="000000" w:themeColor="text1"/>
                <w:lang w:val="it-IT"/>
              </w:rPr>
            </w:pPr>
            <w:r w:rsidRPr="003117B3">
              <w:rPr>
                <w:rFonts w:ascii="Times New Roman" w:eastAsia="Times New Roman" w:hAnsi="Times New Roman" w:cs="Times New Roman"/>
                <w:b/>
                <w:color w:val="000000" w:themeColor="text1"/>
                <w:lang w:val="ro-MD"/>
              </w:rPr>
              <w:t xml:space="preserve">1. </w:t>
            </w:r>
            <w:r w:rsidRPr="000A2F4D">
              <w:rPr>
                <w:rFonts w:ascii="Times New Roman" w:eastAsia="Times New Roman" w:hAnsi="Times New Roman" w:cs="Times New Roman"/>
                <w:b/>
                <w:color w:val="000000" w:themeColor="text1"/>
                <w:lang w:val="ro-MD"/>
              </w:rPr>
              <w:t xml:space="preserve">Titlul actului UE, inclusiv cea mai recentă modificare, </w:t>
            </w:r>
            <w:proofErr w:type="spellStart"/>
            <w:r w:rsidRPr="000A2F4D">
              <w:rPr>
                <w:rFonts w:ascii="Times New Roman" w:eastAsia="Times New Roman" w:hAnsi="Times New Roman" w:cs="Times New Roman"/>
                <w:b/>
                <w:color w:val="000000" w:themeColor="text1"/>
                <w:lang w:val="ro-MD"/>
              </w:rPr>
              <w:t>nr.CELEX</w:t>
            </w:r>
            <w:proofErr w:type="spellEnd"/>
            <w:r>
              <w:rPr>
                <w:rFonts w:ascii="Times New Roman" w:eastAsia="Times New Roman" w:hAnsi="Times New Roman" w:cs="Times New Roman"/>
                <w:b/>
                <w:color w:val="000000" w:themeColor="text1"/>
                <w:lang w:val="ro-MD"/>
              </w:rPr>
              <w:t xml:space="preserve">: </w:t>
            </w:r>
            <w:r w:rsidRPr="007A24CE">
              <w:rPr>
                <w:rFonts w:ascii="Times New Roman" w:eastAsia="Times New Roman" w:hAnsi="Times New Roman" w:cs="Times New Roman"/>
                <w:b/>
                <w:color w:val="000000" w:themeColor="text1"/>
                <w:lang w:val="ro-MD"/>
              </w:rPr>
              <w:t>32022R2328</w:t>
            </w:r>
          </w:p>
        </w:tc>
      </w:tr>
      <w:tr w:rsidR="007A24CE" w:rsidRPr="00824567" w14:paraId="5A64562D"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E68B8" w14:textId="291FE2C1" w:rsidR="007A24CE" w:rsidRPr="007A24CE" w:rsidRDefault="007A24CE" w:rsidP="007A24CE">
            <w:pPr>
              <w:spacing w:line="276" w:lineRule="auto"/>
              <w:jc w:val="both"/>
              <w:rPr>
                <w:rFonts w:ascii="Times New Roman" w:hAnsi="Times New Roman" w:cs="Times New Roman"/>
                <w:color w:val="000000" w:themeColor="text1"/>
                <w:lang w:val="ro-MD"/>
              </w:rPr>
            </w:pPr>
            <w:r w:rsidRPr="007A24CE">
              <w:rPr>
                <w:rFonts w:ascii="Times New Roman" w:hAnsi="Times New Roman" w:cs="Times New Roman"/>
                <w:b/>
                <w:bCs/>
                <w:color w:val="000000" w:themeColor="text1"/>
                <w:u w:val="single"/>
                <w:lang w:val="ro-MD"/>
              </w:rPr>
              <w:t>REGULAMENTUL DELEGAT (UE) 2022/2328 AL COMISIEI</w:t>
            </w:r>
            <w:r>
              <w:rPr>
                <w:rFonts w:ascii="Times New Roman" w:hAnsi="Times New Roman" w:cs="Times New Roman"/>
                <w:b/>
                <w:bCs/>
                <w:color w:val="000000" w:themeColor="text1"/>
                <w:u w:val="single"/>
                <w:lang w:val="ro-MD"/>
              </w:rPr>
              <w:t xml:space="preserve"> </w:t>
            </w:r>
            <w:r w:rsidRPr="007A24CE">
              <w:rPr>
                <w:rFonts w:ascii="Times New Roman" w:hAnsi="Times New Roman" w:cs="Times New Roman"/>
                <w:b/>
                <w:bCs/>
                <w:color w:val="000000" w:themeColor="text1"/>
                <w:u w:val="single"/>
                <w:lang w:val="ro-MD"/>
              </w:rPr>
              <w:t>din 16 august 2022</w:t>
            </w:r>
            <w:r>
              <w:rPr>
                <w:rFonts w:ascii="Times New Roman" w:hAnsi="Times New Roman" w:cs="Times New Roman"/>
                <w:b/>
                <w:bCs/>
                <w:color w:val="000000" w:themeColor="text1"/>
                <w:u w:val="single"/>
                <w:lang w:val="ro-MD"/>
              </w:rPr>
              <w:t xml:space="preserve"> </w:t>
            </w:r>
            <w:r w:rsidRPr="007A24CE">
              <w:rPr>
                <w:rFonts w:ascii="Times New Roman" w:hAnsi="Times New Roman" w:cs="Times New Roman"/>
                <w:b/>
                <w:bCs/>
                <w:color w:val="000000" w:themeColor="text1"/>
                <w:u w:val="single"/>
                <w:lang w:val="ro-MD"/>
              </w:rPr>
              <w:t>de completare a Regulamentului (UE) nr. 575/2013 al Parlamentului European și al Consiliului în ceea ce privește standardele tehnice de reglementare care furnizează precizări cu privire la instrumentele-suport exotice și instrumentele care prezintă riscuri reziduale în scopul calculării cerințelor de fonduri proprii pentru riscurile reziduale</w:t>
            </w:r>
          </w:p>
        </w:tc>
      </w:tr>
      <w:tr w:rsidR="007A24CE" w:rsidRPr="006B4510" w14:paraId="0FEB0268"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AD570" w14:textId="77777777" w:rsidR="007A24CE" w:rsidRPr="003117B3" w:rsidRDefault="007A24CE" w:rsidP="003228C3">
            <w:pPr>
              <w:tabs>
                <w:tab w:val="left" w:pos="5088"/>
              </w:tabs>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 xml:space="preserve">2. </w:t>
            </w:r>
            <w:r w:rsidRPr="000A2F4D">
              <w:rPr>
                <w:rFonts w:ascii="Times New Roman" w:eastAsia="Times New Roman" w:hAnsi="Times New Roman" w:cs="Times New Roman"/>
                <w:b/>
                <w:color w:val="000000" w:themeColor="text1"/>
                <w:lang w:val="ro-MD"/>
              </w:rPr>
              <w:t xml:space="preserve">Titlul proiectului de act normativ </w:t>
            </w:r>
            <w:proofErr w:type="spellStart"/>
            <w:r w:rsidRPr="000A2F4D">
              <w:rPr>
                <w:rFonts w:ascii="Times New Roman" w:eastAsia="Times New Roman" w:hAnsi="Times New Roman" w:cs="Times New Roman"/>
                <w:b/>
                <w:color w:val="000000" w:themeColor="text1"/>
                <w:lang w:val="ro-MD"/>
              </w:rPr>
              <w:t>naţional</w:t>
            </w:r>
            <w:proofErr w:type="spellEnd"/>
          </w:p>
        </w:tc>
      </w:tr>
      <w:tr w:rsidR="007A24CE" w:rsidRPr="006B4510" w14:paraId="4B521232"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DC883" w14:textId="12CCE394" w:rsidR="007A24CE" w:rsidRPr="003117B3" w:rsidRDefault="007A24CE" w:rsidP="001C3C1C">
            <w:pPr>
              <w:tabs>
                <w:tab w:val="left" w:pos="5088"/>
              </w:tabs>
              <w:spacing w:after="0" w:line="276" w:lineRule="auto"/>
              <w:jc w:val="both"/>
              <w:rPr>
                <w:rFonts w:ascii="Times New Roman" w:hAnsi="Times New Roman" w:cs="Times New Roman"/>
                <w:color w:val="000000" w:themeColor="text1"/>
                <w:lang w:val="ro-MD"/>
              </w:rPr>
            </w:pPr>
            <w:r w:rsidRPr="00627361">
              <w:rPr>
                <w:rFonts w:ascii="Times New Roman" w:hAnsi="Times New Roman" w:cs="Times New Roman"/>
                <w:color w:val="000000" w:themeColor="text1"/>
                <w:u w:val="single"/>
                <w:lang w:val="ro-MD"/>
              </w:rPr>
              <w:t xml:space="preserve">Regulamentul privind cerința de fonduri proprii pentru riscul </w:t>
            </w:r>
            <w:r>
              <w:rPr>
                <w:rFonts w:ascii="Times New Roman" w:hAnsi="Times New Roman" w:cs="Times New Roman"/>
                <w:color w:val="000000" w:themeColor="text1"/>
                <w:u w:val="single"/>
                <w:lang w:val="ro-MD"/>
              </w:rPr>
              <w:t xml:space="preserve">de </w:t>
            </w:r>
            <w:r>
              <w:rPr>
                <w:rFonts w:ascii="Times New Roman" w:hAnsi="Times New Roman" w:cs="Times New Roman"/>
                <w:color w:val="000000" w:themeColor="text1"/>
                <w:u w:val="single"/>
                <w:lang w:val="ro-RO"/>
              </w:rPr>
              <w:t>piață</w:t>
            </w:r>
            <w:r w:rsidRPr="00B8056D">
              <w:rPr>
                <w:rFonts w:ascii="Times New Roman" w:hAnsi="Times New Roman" w:cs="Times New Roman"/>
                <w:color w:val="000000" w:themeColor="text1"/>
                <w:u w:val="single"/>
                <w:lang w:val="ro-MD"/>
              </w:rPr>
              <w:t>, aprobat prin Hotărârea Comitetului executiv</w:t>
            </w:r>
            <w:r>
              <w:rPr>
                <w:rFonts w:ascii="Times New Roman" w:hAnsi="Times New Roman" w:cs="Times New Roman"/>
                <w:color w:val="000000" w:themeColor="text1"/>
                <w:u w:val="single"/>
                <w:lang w:val="ro-MD"/>
              </w:rPr>
              <w:t xml:space="preserve"> </w:t>
            </w:r>
            <w:r w:rsidRPr="00B8056D">
              <w:rPr>
                <w:rFonts w:ascii="Times New Roman" w:hAnsi="Times New Roman" w:cs="Times New Roman"/>
                <w:color w:val="000000" w:themeColor="text1"/>
                <w:u w:val="single"/>
                <w:lang w:val="ro-MD"/>
              </w:rPr>
              <w:t xml:space="preserve">al Băncii Naționale a Moldovei </w:t>
            </w:r>
            <w:proofErr w:type="spellStart"/>
            <w:r w:rsidRPr="00B8056D">
              <w:rPr>
                <w:rFonts w:ascii="Times New Roman" w:hAnsi="Times New Roman" w:cs="Times New Roman"/>
                <w:color w:val="000000" w:themeColor="text1"/>
                <w:u w:val="single"/>
                <w:lang w:val="ro-MD"/>
              </w:rPr>
              <w:t>nr.XX</w:t>
            </w:r>
            <w:proofErr w:type="spellEnd"/>
            <w:r w:rsidRPr="00B8056D">
              <w:rPr>
                <w:rFonts w:ascii="Times New Roman" w:hAnsi="Times New Roman" w:cs="Times New Roman"/>
                <w:color w:val="000000" w:themeColor="text1"/>
                <w:u w:val="single"/>
                <w:lang w:val="ro-MD"/>
              </w:rPr>
              <w:t xml:space="preserve"> din XX.XX.202</w:t>
            </w:r>
            <w:r w:rsidR="001C3C1C">
              <w:rPr>
                <w:rFonts w:ascii="Times New Roman" w:hAnsi="Times New Roman" w:cs="Times New Roman"/>
                <w:color w:val="000000" w:themeColor="text1"/>
                <w:u w:val="single"/>
                <w:lang w:val="ro-MD"/>
              </w:rPr>
              <w:t>6</w:t>
            </w:r>
          </w:p>
        </w:tc>
      </w:tr>
      <w:tr w:rsidR="007A24CE" w:rsidRPr="00824567" w14:paraId="1F497164"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0E261" w14:textId="3D481AB1" w:rsidR="007A24CE" w:rsidRPr="003117B3" w:rsidRDefault="007A24CE" w:rsidP="003228C3">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3. Gradul general de compatibilitate</w:t>
            </w:r>
            <w:r w:rsidRPr="003117B3">
              <w:rPr>
                <w:rFonts w:ascii="Times New Roman" w:eastAsia="Times New Roman" w:hAnsi="Times New Roman" w:cs="Times New Roman"/>
                <w:color w:val="000000" w:themeColor="text1"/>
                <w:lang w:val="ro-MD"/>
              </w:rPr>
              <w:t xml:space="preserve">– </w:t>
            </w:r>
            <w:r w:rsidRPr="007A3265">
              <w:rPr>
                <w:rFonts w:ascii="Times New Roman" w:eastAsia="Times New Roman" w:hAnsi="Times New Roman" w:cs="Times New Roman"/>
                <w:color w:val="000000" w:themeColor="text1"/>
                <w:lang w:val="ro-MD"/>
              </w:rPr>
              <w:t xml:space="preserve"> compatibil</w:t>
            </w:r>
          </w:p>
        </w:tc>
      </w:tr>
      <w:tr w:rsidR="007A24CE" w:rsidRPr="006B4510" w14:paraId="2AE2FEA3"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FCE1C" w14:textId="408B8E74" w:rsidR="007A24CE" w:rsidRPr="003117B3" w:rsidRDefault="007A24CE" w:rsidP="003228C3">
            <w:pPr>
              <w:spacing w:after="0" w:line="276" w:lineRule="auto"/>
              <w:jc w:val="both"/>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 xml:space="preserve">4. </w:t>
            </w:r>
            <w:r w:rsidRPr="000A2F4D">
              <w:rPr>
                <w:rFonts w:ascii="Times New Roman" w:eastAsia="Times New Roman" w:hAnsi="Times New Roman" w:cs="Times New Roman"/>
                <w:b/>
                <w:color w:val="000000" w:themeColor="text1"/>
                <w:lang w:val="ro-MD"/>
              </w:rPr>
              <w:t>Autoritatea/persoana responsabilă</w:t>
            </w:r>
            <w:r w:rsidR="006B4510">
              <w:rPr>
                <w:rFonts w:ascii="Times New Roman" w:eastAsia="Times New Roman" w:hAnsi="Times New Roman" w:cs="Times New Roman"/>
                <w:b/>
                <w:color w:val="000000" w:themeColor="text1"/>
                <w:lang w:val="ro-MD"/>
              </w:rPr>
              <w:t xml:space="preserve"> – </w:t>
            </w:r>
            <w:r w:rsidR="006B4510" w:rsidRPr="006B4510">
              <w:rPr>
                <w:rFonts w:ascii="Times New Roman" w:eastAsia="Times New Roman" w:hAnsi="Times New Roman" w:cs="Times New Roman"/>
                <w:bCs/>
                <w:color w:val="000000" w:themeColor="text1"/>
                <w:lang w:val="ro-MD"/>
              </w:rPr>
              <w:t>Banca Națională a Moldovei</w:t>
            </w:r>
          </w:p>
        </w:tc>
      </w:tr>
      <w:tr w:rsidR="007A24CE" w:rsidRPr="000A2F4D" w14:paraId="3F233A77"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F6D5C" w14:textId="1998EEE2" w:rsidR="007A24CE" w:rsidRPr="003117B3" w:rsidRDefault="007A24CE" w:rsidP="003228C3">
            <w:pPr>
              <w:spacing w:after="0" w:line="276" w:lineRule="auto"/>
              <w:jc w:val="both"/>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 xml:space="preserve">5. </w:t>
            </w:r>
            <w:r w:rsidRPr="000A2F4D">
              <w:rPr>
                <w:rFonts w:ascii="Times New Roman" w:eastAsia="Times New Roman" w:hAnsi="Times New Roman" w:cs="Times New Roman"/>
                <w:b/>
                <w:color w:val="000000" w:themeColor="text1"/>
                <w:lang w:val="ro-MD"/>
              </w:rPr>
              <w:t>Data întocmirii/actualizării</w:t>
            </w:r>
            <w:r w:rsidR="006B4510">
              <w:rPr>
                <w:rFonts w:ascii="Times New Roman" w:eastAsia="Times New Roman" w:hAnsi="Times New Roman" w:cs="Times New Roman"/>
                <w:b/>
                <w:color w:val="000000" w:themeColor="text1"/>
                <w:lang w:val="ro-MD"/>
              </w:rPr>
              <w:t xml:space="preserve"> – </w:t>
            </w:r>
            <w:r w:rsidR="006B4510" w:rsidRPr="006B4510">
              <w:rPr>
                <w:rFonts w:ascii="Times New Roman" w:eastAsia="Times New Roman" w:hAnsi="Times New Roman" w:cs="Times New Roman"/>
                <w:bCs/>
                <w:color w:val="000000" w:themeColor="text1"/>
                <w:lang w:val="ro-MD"/>
              </w:rPr>
              <w:t>19.06.2026</w:t>
            </w:r>
          </w:p>
        </w:tc>
      </w:tr>
    </w:tbl>
    <w:p w14:paraId="4586AB1E" w14:textId="77777777" w:rsidR="007A24CE" w:rsidRPr="003117B3" w:rsidRDefault="007A24CE" w:rsidP="007A24CE">
      <w:pPr>
        <w:spacing w:line="276" w:lineRule="auto"/>
        <w:jc w:val="both"/>
        <w:rPr>
          <w:rFonts w:ascii="Times New Roman" w:hAnsi="Times New Roman" w:cs="Times New Roman"/>
          <w:color w:val="000000" w:themeColor="text1"/>
          <w:lang w:val="ro-MD"/>
        </w:rPr>
      </w:pPr>
    </w:p>
    <w:tbl>
      <w:tblPr>
        <w:tblW w:w="5406" w:type="pct"/>
        <w:tblInd w:w="-579" w:type="dxa"/>
        <w:tblLayout w:type="fixed"/>
        <w:tblLook w:val="01E0" w:firstRow="1" w:lastRow="1" w:firstColumn="1" w:lastColumn="1" w:noHBand="0" w:noVBand="0"/>
      </w:tblPr>
      <w:tblGrid>
        <w:gridCol w:w="5028"/>
        <w:gridCol w:w="4902"/>
        <w:gridCol w:w="1842"/>
        <w:gridCol w:w="3970"/>
      </w:tblGrid>
      <w:tr w:rsidR="007A24CE" w:rsidRPr="003117B3" w14:paraId="3A7495C0" w14:textId="77777777" w:rsidTr="003228C3">
        <w:trPr>
          <w:tblHeader/>
        </w:trPr>
        <w:tc>
          <w:tcPr>
            <w:tcW w:w="1597" w:type="pct"/>
            <w:tcBorders>
              <w:top w:val="single" w:sz="4" w:space="0" w:color="auto"/>
              <w:left w:val="single" w:sz="4" w:space="0" w:color="auto"/>
              <w:bottom w:val="single" w:sz="4" w:space="0" w:color="auto"/>
              <w:right w:val="single" w:sz="4" w:space="0" w:color="auto"/>
            </w:tcBorders>
            <w:vAlign w:val="center"/>
          </w:tcPr>
          <w:p w14:paraId="5A5F671A" w14:textId="77777777" w:rsidR="007A24CE" w:rsidRPr="003117B3" w:rsidRDefault="007A24CE" w:rsidP="003228C3">
            <w:pPr>
              <w:spacing w:line="276" w:lineRule="auto"/>
              <w:jc w:val="center"/>
              <w:rPr>
                <w:rFonts w:ascii="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Actul Uniunii Europene</w:t>
            </w:r>
          </w:p>
        </w:tc>
        <w:tc>
          <w:tcPr>
            <w:tcW w:w="1557" w:type="pct"/>
            <w:tcBorders>
              <w:top w:val="single" w:sz="4" w:space="0" w:color="auto"/>
              <w:left w:val="single" w:sz="4" w:space="0" w:color="auto"/>
              <w:bottom w:val="single" w:sz="4" w:space="0" w:color="auto"/>
              <w:right w:val="single" w:sz="4" w:space="0" w:color="auto"/>
            </w:tcBorders>
            <w:vAlign w:val="center"/>
          </w:tcPr>
          <w:p w14:paraId="19033C0C" w14:textId="77777777" w:rsidR="007A24CE" w:rsidRPr="000A2F4D" w:rsidRDefault="007A24CE" w:rsidP="003228C3">
            <w:pPr>
              <w:spacing w:line="276" w:lineRule="auto"/>
              <w:jc w:val="center"/>
              <w:rPr>
                <w:rFonts w:ascii="Times New Roman" w:eastAsia="Times New Roman" w:hAnsi="Times New Roman" w:cs="Times New Roman"/>
                <w:b/>
                <w:color w:val="000000" w:themeColor="text1"/>
                <w:lang w:val="ro-MD"/>
              </w:rPr>
            </w:pPr>
            <w:r w:rsidRPr="000A2F4D">
              <w:rPr>
                <w:rFonts w:ascii="Times New Roman" w:eastAsia="Times New Roman" w:hAnsi="Times New Roman" w:cs="Times New Roman"/>
                <w:b/>
                <w:color w:val="000000" w:themeColor="text1"/>
                <w:lang w:val="ro-MD"/>
              </w:rPr>
              <w:t xml:space="preserve">Proiectul de act </w:t>
            </w:r>
          </w:p>
          <w:p w14:paraId="2C23458B" w14:textId="77777777" w:rsidR="007A24CE" w:rsidRPr="003117B3" w:rsidRDefault="007A24CE" w:rsidP="003228C3">
            <w:pPr>
              <w:spacing w:line="276" w:lineRule="auto"/>
              <w:jc w:val="center"/>
              <w:rPr>
                <w:rFonts w:ascii="Times New Roman" w:hAnsi="Times New Roman" w:cs="Times New Roman"/>
                <w:b/>
                <w:color w:val="000000" w:themeColor="text1"/>
                <w:lang w:val="ro-MD"/>
              </w:rPr>
            </w:pPr>
            <w:r w:rsidRPr="000A2F4D">
              <w:rPr>
                <w:rFonts w:ascii="Times New Roman" w:eastAsia="Times New Roman" w:hAnsi="Times New Roman" w:cs="Times New Roman"/>
                <w:b/>
                <w:color w:val="000000" w:themeColor="text1"/>
                <w:lang w:val="ro-MD"/>
              </w:rPr>
              <w:t xml:space="preserve">normativ </w:t>
            </w:r>
            <w:proofErr w:type="spellStart"/>
            <w:r w:rsidRPr="000A2F4D">
              <w:rPr>
                <w:rFonts w:ascii="Times New Roman" w:eastAsia="Times New Roman" w:hAnsi="Times New Roman" w:cs="Times New Roman"/>
                <w:b/>
                <w:color w:val="000000" w:themeColor="text1"/>
                <w:lang w:val="ro-MD"/>
              </w:rPr>
              <w:t>naţional</w:t>
            </w:r>
            <w:proofErr w:type="spellEnd"/>
          </w:p>
        </w:tc>
        <w:tc>
          <w:tcPr>
            <w:tcW w:w="585" w:type="pct"/>
            <w:tcBorders>
              <w:top w:val="single" w:sz="4" w:space="0" w:color="auto"/>
              <w:left w:val="single" w:sz="4" w:space="0" w:color="auto"/>
              <w:bottom w:val="single" w:sz="4" w:space="0" w:color="auto"/>
              <w:right w:val="single" w:sz="4" w:space="0" w:color="auto"/>
            </w:tcBorders>
            <w:vAlign w:val="center"/>
          </w:tcPr>
          <w:p w14:paraId="602FAD47" w14:textId="77777777" w:rsidR="007A24CE" w:rsidRPr="003117B3" w:rsidRDefault="007A24CE" w:rsidP="003228C3">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Gradul de compatibilitate</w:t>
            </w:r>
          </w:p>
        </w:tc>
        <w:tc>
          <w:tcPr>
            <w:tcW w:w="1261" w:type="pct"/>
            <w:tcBorders>
              <w:top w:val="single" w:sz="4" w:space="0" w:color="auto"/>
              <w:left w:val="single" w:sz="4" w:space="0" w:color="auto"/>
              <w:bottom w:val="single" w:sz="4" w:space="0" w:color="auto"/>
              <w:right w:val="single" w:sz="4" w:space="0" w:color="auto"/>
            </w:tcBorders>
            <w:vAlign w:val="center"/>
          </w:tcPr>
          <w:p w14:paraId="20175715" w14:textId="77777777" w:rsidR="007A24CE" w:rsidRPr="003117B3" w:rsidRDefault="007A24CE" w:rsidP="003228C3">
            <w:pPr>
              <w:spacing w:line="276" w:lineRule="auto"/>
              <w:rPr>
                <w:rFonts w:ascii="Times New Roman" w:hAnsi="Times New Roman" w:cs="Times New Roman"/>
                <w:color w:val="000000" w:themeColor="text1"/>
                <w:lang w:val="ro-MD"/>
              </w:rPr>
            </w:pPr>
            <w:r w:rsidRPr="003117B3">
              <w:rPr>
                <w:rFonts w:ascii="Times New Roman" w:eastAsia="Times New Roman" w:hAnsi="Times New Roman" w:cs="Times New Roman"/>
                <w:b/>
                <w:color w:val="000000" w:themeColor="text1"/>
                <w:lang w:val="ro-MD"/>
              </w:rPr>
              <w:t xml:space="preserve"> Observații</w:t>
            </w:r>
          </w:p>
        </w:tc>
      </w:tr>
      <w:tr w:rsidR="007A24CE" w:rsidRPr="003117B3" w14:paraId="41249EFE" w14:textId="77777777" w:rsidTr="003228C3">
        <w:trPr>
          <w:trHeight w:val="253"/>
          <w:tblHeader/>
        </w:trPr>
        <w:tc>
          <w:tcPr>
            <w:tcW w:w="1597" w:type="pct"/>
            <w:tcBorders>
              <w:top w:val="single" w:sz="4" w:space="0" w:color="auto"/>
              <w:left w:val="single" w:sz="4" w:space="0" w:color="auto"/>
              <w:bottom w:val="single" w:sz="4" w:space="0" w:color="auto"/>
              <w:right w:val="single" w:sz="4" w:space="0" w:color="auto"/>
            </w:tcBorders>
            <w:vAlign w:val="center"/>
          </w:tcPr>
          <w:p w14:paraId="25A1A76A" w14:textId="77777777" w:rsidR="007A24CE" w:rsidRPr="003117B3" w:rsidRDefault="007A24C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6</w:t>
            </w:r>
          </w:p>
        </w:tc>
        <w:tc>
          <w:tcPr>
            <w:tcW w:w="1557" w:type="pct"/>
            <w:tcBorders>
              <w:top w:val="single" w:sz="4" w:space="0" w:color="auto"/>
              <w:left w:val="single" w:sz="4" w:space="0" w:color="auto"/>
              <w:bottom w:val="single" w:sz="4" w:space="0" w:color="auto"/>
              <w:right w:val="single" w:sz="4" w:space="0" w:color="auto"/>
            </w:tcBorders>
            <w:vAlign w:val="center"/>
          </w:tcPr>
          <w:p w14:paraId="45A05DFB" w14:textId="77777777" w:rsidR="007A24CE" w:rsidRPr="003117B3" w:rsidRDefault="007A24C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7</w:t>
            </w:r>
          </w:p>
        </w:tc>
        <w:tc>
          <w:tcPr>
            <w:tcW w:w="585" w:type="pct"/>
            <w:tcBorders>
              <w:top w:val="single" w:sz="4" w:space="0" w:color="auto"/>
              <w:left w:val="single" w:sz="4" w:space="0" w:color="auto"/>
              <w:bottom w:val="single" w:sz="4" w:space="0" w:color="auto"/>
              <w:right w:val="single" w:sz="4" w:space="0" w:color="auto"/>
            </w:tcBorders>
            <w:vAlign w:val="center"/>
          </w:tcPr>
          <w:p w14:paraId="3442432C" w14:textId="77777777" w:rsidR="007A24CE" w:rsidRPr="003117B3" w:rsidRDefault="007A24C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8</w:t>
            </w:r>
          </w:p>
        </w:tc>
        <w:tc>
          <w:tcPr>
            <w:tcW w:w="1261" w:type="pct"/>
            <w:tcBorders>
              <w:top w:val="single" w:sz="4" w:space="0" w:color="auto"/>
              <w:left w:val="single" w:sz="4" w:space="0" w:color="auto"/>
              <w:bottom w:val="single" w:sz="4" w:space="0" w:color="auto"/>
              <w:right w:val="single" w:sz="4" w:space="0" w:color="auto"/>
            </w:tcBorders>
            <w:vAlign w:val="center"/>
          </w:tcPr>
          <w:p w14:paraId="6D17B26B" w14:textId="77777777" w:rsidR="007A24CE" w:rsidRPr="003117B3" w:rsidRDefault="007A24C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9</w:t>
            </w:r>
          </w:p>
        </w:tc>
      </w:tr>
      <w:tr w:rsidR="007A24CE" w:rsidRPr="006B4510" w14:paraId="75740E9C"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4F4544F" w14:textId="1208F452" w:rsidR="007A24CE" w:rsidRPr="003117B3" w:rsidRDefault="007A24CE" w:rsidP="003228C3">
            <w:pPr>
              <w:spacing w:line="276" w:lineRule="auto"/>
              <w:rPr>
                <w:rFonts w:ascii="Times New Roman" w:hAnsi="Times New Roman" w:cs="Times New Roman"/>
                <w:b/>
                <w:color w:val="000000" w:themeColor="text1"/>
                <w:lang w:val="ro-MD"/>
              </w:rPr>
            </w:pPr>
            <w:bookmarkStart w:id="0" w:name="_Hlk223620731"/>
            <w:r w:rsidRPr="007A24CE">
              <w:rPr>
                <w:rFonts w:ascii="Times New Roman" w:hAnsi="Times New Roman" w:cs="Times New Roman"/>
                <w:b/>
                <w:bCs/>
                <w:color w:val="000000" w:themeColor="text1"/>
                <w:u w:val="single"/>
                <w:lang w:val="ro-MD"/>
              </w:rPr>
              <w:t>REGULAMENTUL DELEGAT (UE) 2022/2328 AL COMISIEI din 16 august 2022 de completare a Regulamentului (UE) nr. 575/2013 al Parlamentului European și al Consiliului în ceea ce privește standardele tehnice de reglementare care furnizează precizări cu privire la instrumentele-suport exotice și instrumentele care prezintă riscuri reziduale în scopul calculării cerințelor de fonduri proprii pentru riscurile reziduale</w:t>
            </w:r>
          </w:p>
        </w:tc>
        <w:tc>
          <w:tcPr>
            <w:tcW w:w="1557" w:type="pct"/>
          </w:tcPr>
          <w:p w14:paraId="1C5332F8" w14:textId="60908CAF" w:rsidR="007A24CE" w:rsidRPr="00987FB4" w:rsidRDefault="001C3C1C" w:rsidP="003228C3">
            <w:pPr>
              <w:spacing w:line="276" w:lineRule="auto"/>
              <w:rPr>
                <w:rFonts w:ascii="Times New Roman" w:hAnsi="Times New Roman" w:cs="Times New Roman"/>
                <w:bCs/>
                <w:color w:val="000000" w:themeColor="text1"/>
                <w:lang w:val="ro-MD"/>
              </w:rPr>
            </w:pPr>
            <w:bookmarkStart w:id="1" w:name="_Hlk188368218"/>
            <w:r w:rsidRPr="00987FB4">
              <w:rPr>
                <w:rFonts w:ascii="Times New Roman" w:hAnsi="Times New Roman" w:cs="Times New Roman"/>
                <w:bCs/>
                <w:color w:val="000000" w:themeColor="text1"/>
                <w:lang w:val="ro-MD"/>
              </w:rPr>
              <w:t>Anexa nr.</w:t>
            </w:r>
            <w:r w:rsidR="00743259">
              <w:rPr>
                <w:rFonts w:ascii="Times New Roman" w:hAnsi="Times New Roman" w:cs="Times New Roman"/>
                <w:bCs/>
                <w:color w:val="000000" w:themeColor="text1"/>
                <w:lang w:val="ro-MD"/>
              </w:rPr>
              <w:t>2</w:t>
            </w:r>
            <w:r w:rsidRPr="00987FB4">
              <w:rPr>
                <w:rFonts w:ascii="Times New Roman" w:hAnsi="Times New Roman" w:cs="Times New Roman"/>
                <w:bCs/>
                <w:color w:val="000000" w:themeColor="text1"/>
                <w:lang w:val="ro-MD"/>
              </w:rPr>
              <w:t xml:space="preserve"> la </w:t>
            </w:r>
            <w:r w:rsidR="007A24CE" w:rsidRPr="00987FB4">
              <w:rPr>
                <w:rFonts w:ascii="Times New Roman" w:hAnsi="Times New Roman" w:cs="Times New Roman"/>
                <w:bCs/>
                <w:color w:val="000000" w:themeColor="text1"/>
                <w:lang w:val="ro-MD"/>
              </w:rPr>
              <w:t xml:space="preserve">Regulamentul privind </w:t>
            </w:r>
            <w:bookmarkStart w:id="2" w:name="_Hlk192851899"/>
            <w:r w:rsidR="007A24CE" w:rsidRPr="00987FB4">
              <w:rPr>
                <w:rFonts w:ascii="Times New Roman" w:hAnsi="Times New Roman" w:cs="Times New Roman"/>
                <w:bCs/>
                <w:color w:val="000000" w:themeColor="text1"/>
                <w:lang w:val="ro-MD"/>
              </w:rPr>
              <w:t>cerinț</w:t>
            </w:r>
            <w:r w:rsidRPr="00987FB4">
              <w:rPr>
                <w:rFonts w:ascii="Times New Roman" w:hAnsi="Times New Roman" w:cs="Times New Roman"/>
                <w:bCs/>
                <w:color w:val="000000" w:themeColor="text1"/>
                <w:lang w:val="ro-MD"/>
              </w:rPr>
              <w:t>e</w:t>
            </w:r>
            <w:r w:rsidR="007A24CE" w:rsidRPr="00987FB4">
              <w:rPr>
                <w:rFonts w:ascii="Times New Roman" w:hAnsi="Times New Roman" w:cs="Times New Roman"/>
                <w:bCs/>
                <w:color w:val="000000" w:themeColor="text1"/>
                <w:lang w:val="ro-MD"/>
              </w:rPr>
              <w:t xml:space="preserve"> de fonduri proprii pentru riscul </w:t>
            </w:r>
            <w:bookmarkEnd w:id="1"/>
            <w:bookmarkEnd w:id="2"/>
            <w:r w:rsidRPr="00987FB4">
              <w:rPr>
                <w:rFonts w:ascii="Times New Roman" w:hAnsi="Times New Roman" w:cs="Times New Roman"/>
                <w:bCs/>
                <w:color w:val="000000" w:themeColor="text1"/>
                <w:lang w:val="ro-MD"/>
              </w:rPr>
              <w:t>de piață</w:t>
            </w:r>
            <w:r w:rsidR="007A24CE" w:rsidRPr="00987FB4">
              <w:rPr>
                <w:rFonts w:ascii="Times New Roman" w:hAnsi="Times New Roman" w:cs="Times New Roman"/>
                <w:bCs/>
                <w:color w:val="000000" w:themeColor="text1"/>
                <w:lang w:val="ro-MD"/>
              </w:rPr>
              <w:t xml:space="preserve">, aprobat prin Hotărârea Comitetului executiv al Băncii Naționale a Moldovei  </w:t>
            </w:r>
            <w:proofErr w:type="spellStart"/>
            <w:r w:rsidR="007A24CE" w:rsidRPr="00987FB4">
              <w:rPr>
                <w:rFonts w:ascii="Times New Roman" w:hAnsi="Times New Roman" w:cs="Times New Roman"/>
                <w:bCs/>
                <w:color w:val="000000" w:themeColor="text1"/>
                <w:lang w:val="ro-MD"/>
              </w:rPr>
              <w:t>nr.XX</w:t>
            </w:r>
            <w:proofErr w:type="spellEnd"/>
            <w:r w:rsidR="007A24CE" w:rsidRPr="00987FB4">
              <w:rPr>
                <w:rFonts w:ascii="Times New Roman" w:hAnsi="Times New Roman" w:cs="Times New Roman"/>
                <w:bCs/>
                <w:color w:val="000000" w:themeColor="text1"/>
                <w:lang w:val="ro-MD"/>
              </w:rPr>
              <w:t>/202</w:t>
            </w:r>
            <w:r w:rsidRPr="00987FB4">
              <w:rPr>
                <w:rFonts w:ascii="Times New Roman" w:hAnsi="Times New Roman" w:cs="Times New Roman"/>
                <w:bCs/>
                <w:color w:val="000000" w:themeColor="text1"/>
                <w:lang w:val="ro-MD"/>
              </w:rPr>
              <w:t>6</w:t>
            </w:r>
          </w:p>
          <w:p w14:paraId="3ED70685" w14:textId="77777777" w:rsidR="007A24CE" w:rsidRPr="00987FB4" w:rsidRDefault="007A24CE" w:rsidP="003228C3">
            <w:pPr>
              <w:spacing w:line="276" w:lineRule="auto"/>
              <w:ind w:left="448"/>
              <w:rPr>
                <w:rFonts w:ascii="Times New Roman" w:hAnsi="Times New Roman" w:cs="Times New Roman"/>
                <w:bCs/>
                <w:color w:val="000000" w:themeColor="text1"/>
                <w:lang w:val="ro-MD"/>
              </w:rPr>
            </w:pPr>
          </w:p>
        </w:tc>
        <w:tc>
          <w:tcPr>
            <w:tcW w:w="585" w:type="pct"/>
          </w:tcPr>
          <w:p w14:paraId="5A21FF85" w14:textId="77777777" w:rsidR="007A24CE" w:rsidRPr="003117B3" w:rsidRDefault="007A24CE" w:rsidP="003228C3">
            <w:pPr>
              <w:spacing w:line="276" w:lineRule="auto"/>
              <w:rPr>
                <w:rFonts w:ascii="Times New Roman" w:hAnsi="Times New Roman" w:cs="Times New Roman"/>
                <w:color w:val="000000" w:themeColor="text1"/>
                <w:lang w:val="ro-MD"/>
              </w:rPr>
            </w:pPr>
          </w:p>
        </w:tc>
        <w:tc>
          <w:tcPr>
            <w:tcW w:w="1261" w:type="pct"/>
          </w:tcPr>
          <w:p w14:paraId="65547E09" w14:textId="77777777" w:rsidR="007A24CE" w:rsidRPr="003117B3" w:rsidRDefault="007A24CE" w:rsidP="003228C3">
            <w:pPr>
              <w:spacing w:line="276" w:lineRule="auto"/>
              <w:rPr>
                <w:rFonts w:ascii="Times New Roman" w:hAnsi="Times New Roman" w:cs="Times New Roman"/>
                <w:color w:val="000000" w:themeColor="text1"/>
                <w:lang w:val="ro-MD"/>
              </w:rPr>
            </w:pPr>
          </w:p>
        </w:tc>
      </w:tr>
      <w:tr w:rsidR="007A3265" w:rsidRPr="006B4510" w14:paraId="6FE27A10" w14:textId="77777777" w:rsidTr="007A24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1597" w:type="pct"/>
          </w:tcPr>
          <w:p w14:paraId="300010C2" w14:textId="77777777" w:rsidR="007A3265" w:rsidRPr="007A24CE" w:rsidRDefault="007A3265" w:rsidP="007A24CE">
            <w:pPr>
              <w:spacing w:line="276" w:lineRule="auto"/>
              <w:rPr>
                <w:rFonts w:ascii="Times New Roman" w:hAnsi="Times New Roman" w:cs="Times New Roman"/>
                <w:b/>
                <w:i/>
                <w:iCs/>
                <w:color w:val="000000" w:themeColor="text1"/>
                <w:lang w:val="ro-MD"/>
              </w:rPr>
            </w:pPr>
            <w:bookmarkStart w:id="3" w:name="_Hlk223620756"/>
            <w:bookmarkEnd w:id="0"/>
          </w:p>
        </w:tc>
        <w:tc>
          <w:tcPr>
            <w:tcW w:w="1557" w:type="pct"/>
          </w:tcPr>
          <w:p w14:paraId="0D8FB3C7" w14:textId="50040E29" w:rsidR="007A3265" w:rsidRPr="007A3265" w:rsidRDefault="007A3265" w:rsidP="007A24CE">
            <w:pPr>
              <w:spacing w:line="276" w:lineRule="auto"/>
              <w:rPr>
                <w:rFonts w:ascii="Times New Roman" w:hAnsi="Times New Roman" w:cs="Times New Roman"/>
                <w:b/>
                <w:color w:val="000000" w:themeColor="text1"/>
                <w:lang w:val="ro-MD"/>
              </w:rPr>
            </w:pPr>
            <w:r>
              <w:rPr>
                <w:rFonts w:ascii="Times New Roman" w:hAnsi="Times New Roman" w:cs="Times New Roman"/>
                <w:b/>
                <w:bCs/>
                <w:color w:val="000000" w:themeColor="text1"/>
                <w:lang w:val="ro-MD"/>
              </w:rPr>
              <w:t>I</w:t>
            </w:r>
            <w:r w:rsidRPr="007A3265">
              <w:rPr>
                <w:rFonts w:ascii="Times New Roman" w:hAnsi="Times New Roman" w:cs="Times New Roman"/>
                <w:b/>
                <w:bCs/>
                <w:color w:val="000000" w:themeColor="text1"/>
                <w:lang w:val="ro-MD"/>
              </w:rPr>
              <w:t xml:space="preserve">nstrumentele-suport exotice și instrumentele care prezintă riscuri reziduale în scopul calculării </w:t>
            </w:r>
            <w:r w:rsidRPr="007A3265">
              <w:rPr>
                <w:rFonts w:ascii="Times New Roman" w:hAnsi="Times New Roman" w:cs="Times New Roman"/>
                <w:b/>
                <w:bCs/>
                <w:color w:val="000000" w:themeColor="text1"/>
                <w:lang w:val="ro-MD"/>
              </w:rPr>
              <w:lastRenderedPageBreak/>
              <w:t>cerințelor de fonduri proprii pentru riscurile reziduale</w:t>
            </w:r>
          </w:p>
        </w:tc>
        <w:tc>
          <w:tcPr>
            <w:tcW w:w="585" w:type="pct"/>
          </w:tcPr>
          <w:p w14:paraId="5CF08FD7" w14:textId="77777777" w:rsidR="007A3265" w:rsidRPr="009B7460" w:rsidRDefault="007A3265" w:rsidP="003228C3">
            <w:pPr>
              <w:spacing w:line="276" w:lineRule="auto"/>
              <w:rPr>
                <w:rFonts w:ascii="Times New Roman" w:hAnsi="Times New Roman" w:cs="Times New Roman"/>
                <w:color w:val="000000" w:themeColor="text1"/>
                <w:lang w:val="ro-MD"/>
              </w:rPr>
            </w:pPr>
          </w:p>
        </w:tc>
        <w:tc>
          <w:tcPr>
            <w:tcW w:w="1261" w:type="pct"/>
          </w:tcPr>
          <w:p w14:paraId="13CB0DF0" w14:textId="77777777" w:rsidR="007A3265" w:rsidRPr="003117B3" w:rsidRDefault="007A3265" w:rsidP="003228C3">
            <w:pPr>
              <w:spacing w:line="276" w:lineRule="auto"/>
              <w:rPr>
                <w:rFonts w:ascii="Times New Roman" w:hAnsi="Times New Roman" w:cs="Times New Roman"/>
                <w:color w:val="000000" w:themeColor="text1"/>
                <w:lang w:val="ro-MD"/>
              </w:rPr>
            </w:pPr>
          </w:p>
        </w:tc>
      </w:tr>
      <w:bookmarkEnd w:id="3"/>
      <w:tr w:rsidR="007A24CE" w:rsidRPr="001C3C1C" w14:paraId="38888779" w14:textId="77777777" w:rsidTr="007A24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1597" w:type="pct"/>
          </w:tcPr>
          <w:p w14:paraId="5F2438AC" w14:textId="77777777" w:rsidR="007A24CE" w:rsidRDefault="007A24CE" w:rsidP="007A24CE">
            <w:pPr>
              <w:spacing w:line="276" w:lineRule="auto"/>
              <w:rPr>
                <w:rFonts w:ascii="Times New Roman" w:hAnsi="Times New Roman" w:cs="Times New Roman"/>
                <w:b/>
                <w:i/>
                <w:iCs/>
                <w:color w:val="000000" w:themeColor="text1"/>
                <w:lang w:val="ro-MD"/>
              </w:rPr>
            </w:pPr>
            <w:r w:rsidRPr="007A24CE">
              <w:rPr>
                <w:rFonts w:ascii="Times New Roman" w:hAnsi="Times New Roman" w:cs="Times New Roman"/>
                <w:b/>
                <w:i/>
                <w:iCs/>
                <w:color w:val="000000" w:themeColor="text1"/>
                <w:lang w:val="ro-MD"/>
              </w:rPr>
              <w:t>Articolul 1</w:t>
            </w:r>
          </w:p>
          <w:p w14:paraId="35A1868E" w14:textId="0B9F0537" w:rsidR="007A24CE" w:rsidRPr="00787CE9" w:rsidRDefault="007A24CE" w:rsidP="007A24CE">
            <w:pPr>
              <w:spacing w:line="276" w:lineRule="auto"/>
              <w:rPr>
                <w:rFonts w:ascii="Times New Roman" w:hAnsi="Times New Roman" w:cs="Times New Roman"/>
                <w:b/>
                <w:color w:val="000000" w:themeColor="text1"/>
                <w:lang w:val="it-IT"/>
              </w:rPr>
            </w:pPr>
            <w:r w:rsidRPr="007A24CE">
              <w:rPr>
                <w:rFonts w:ascii="Times New Roman" w:hAnsi="Times New Roman" w:cs="Times New Roman"/>
                <w:b/>
                <w:bCs/>
                <w:color w:val="000000" w:themeColor="text1"/>
                <w:lang w:val="ro-MD"/>
              </w:rPr>
              <w:t>Precizări privind instrumentele-suport exotice</w:t>
            </w:r>
          </w:p>
        </w:tc>
        <w:tc>
          <w:tcPr>
            <w:tcW w:w="1557" w:type="pct"/>
          </w:tcPr>
          <w:p w14:paraId="4890B7E8" w14:textId="5C6ECF8D" w:rsidR="007A24CE" w:rsidRPr="007A24CE" w:rsidRDefault="001C3C1C" w:rsidP="007A24CE">
            <w:pPr>
              <w:spacing w:line="276" w:lineRule="auto"/>
              <w:rPr>
                <w:rFonts w:ascii="Times New Roman" w:hAnsi="Times New Roman" w:cs="Times New Roman"/>
                <w:b/>
                <w:bCs/>
                <w:color w:val="000000" w:themeColor="text1"/>
                <w:lang w:val="ro-MD"/>
              </w:rPr>
            </w:pPr>
            <w:bookmarkStart w:id="4" w:name="_Hlk223620834"/>
            <w:r>
              <w:rPr>
                <w:rFonts w:ascii="Times New Roman" w:hAnsi="Times New Roman" w:cs="Times New Roman"/>
                <w:b/>
                <w:i/>
                <w:iCs/>
                <w:color w:val="000000" w:themeColor="text1"/>
                <w:lang w:val="ro-MD"/>
              </w:rPr>
              <w:t>Secțiunea 1</w:t>
            </w:r>
            <w:r w:rsidRPr="00987FB4">
              <w:rPr>
                <w:rFonts w:ascii="Times New Roman" w:hAnsi="Times New Roman" w:cs="Times New Roman"/>
                <w:b/>
                <w:i/>
                <w:iCs/>
                <w:color w:val="000000" w:themeColor="text1"/>
                <w:lang w:val="ro-MD"/>
              </w:rPr>
              <w:t>.</w:t>
            </w:r>
            <w:r w:rsidR="00987FB4" w:rsidRPr="00987FB4">
              <w:rPr>
                <w:rFonts w:ascii="Times New Roman" w:hAnsi="Times New Roman" w:cs="Times New Roman"/>
                <w:b/>
                <w:i/>
                <w:iCs/>
                <w:color w:val="000000" w:themeColor="text1"/>
                <w:lang w:val="ro-MD"/>
              </w:rPr>
              <w:t xml:space="preserve"> </w:t>
            </w:r>
            <w:r w:rsidR="007A24CE" w:rsidRPr="00987FB4">
              <w:rPr>
                <w:rFonts w:ascii="Times New Roman" w:hAnsi="Times New Roman" w:cs="Times New Roman"/>
                <w:b/>
                <w:bCs/>
                <w:i/>
                <w:iCs/>
                <w:color w:val="000000" w:themeColor="text1"/>
                <w:lang w:val="ro-MD"/>
              </w:rPr>
              <w:t>Precizări privind instrumentele-suport exotice</w:t>
            </w:r>
          </w:p>
          <w:bookmarkEnd w:id="4"/>
          <w:p w14:paraId="5B54DDBC" w14:textId="7C4ADBDC" w:rsidR="007A24CE" w:rsidRPr="007A3265" w:rsidRDefault="007A24CE" w:rsidP="003228C3">
            <w:pPr>
              <w:spacing w:line="276" w:lineRule="auto"/>
              <w:rPr>
                <w:rFonts w:ascii="Times New Roman" w:hAnsi="Times New Roman" w:cs="Times New Roman"/>
                <w:b/>
                <w:color w:val="000000" w:themeColor="text1"/>
                <w:lang w:val="pt-BR"/>
              </w:rPr>
            </w:pPr>
          </w:p>
        </w:tc>
        <w:tc>
          <w:tcPr>
            <w:tcW w:w="585" w:type="pct"/>
          </w:tcPr>
          <w:p w14:paraId="61CB5D72" w14:textId="35F9CD1C" w:rsidR="007A24CE" w:rsidRPr="003117B3" w:rsidRDefault="007A24CE" w:rsidP="003228C3">
            <w:pPr>
              <w:spacing w:line="276" w:lineRule="auto"/>
              <w:rPr>
                <w:rFonts w:ascii="Times New Roman" w:hAnsi="Times New Roman" w:cs="Times New Roman"/>
                <w:color w:val="000000" w:themeColor="text1"/>
                <w:lang w:val="ro-MD"/>
              </w:rPr>
            </w:pPr>
          </w:p>
        </w:tc>
        <w:tc>
          <w:tcPr>
            <w:tcW w:w="1261" w:type="pct"/>
          </w:tcPr>
          <w:p w14:paraId="51CCCAAF" w14:textId="77777777" w:rsidR="007A24CE" w:rsidRPr="003117B3" w:rsidRDefault="007A24CE" w:rsidP="003228C3">
            <w:pPr>
              <w:spacing w:line="276" w:lineRule="auto"/>
              <w:rPr>
                <w:rFonts w:ascii="Times New Roman" w:hAnsi="Times New Roman" w:cs="Times New Roman"/>
                <w:color w:val="000000" w:themeColor="text1"/>
                <w:lang w:val="ro-MD"/>
              </w:rPr>
            </w:pPr>
          </w:p>
        </w:tc>
      </w:tr>
      <w:tr w:rsidR="007A24CE" w:rsidRPr="00824567" w14:paraId="4A3E5C76"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68C1F603" w14:textId="5AE9BC31" w:rsidR="007A24CE" w:rsidRPr="001C3C1C" w:rsidRDefault="007A24CE" w:rsidP="003228C3">
            <w:pPr>
              <w:spacing w:line="276" w:lineRule="auto"/>
              <w:rPr>
                <w:rFonts w:ascii="Times New Roman" w:hAnsi="Times New Roman" w:cs="Times New Roman"/>
                <w:bCs/>
                <w:color w:val="000000" w:themeColor="text1"/>
              </w:rPr>
            </w:pPr>
            <w:proofErr w:type="spellStart"/>
            <w:r w:rsidRPr="001C3C1C">
              <w:rPr>
                <w:rFonts w:ascii="Times New Roman" w:hAnsi="Times New Roman" w:cs="Times New Roman"/>
                <w:bCs/>
                <w:color w:val="000000" w:themeColor="text1"/>
              </w:rPr>
              <w:t>Riscul</w:t>
            </w:r>
            <w:proofErr w:type="spellEnd"/>
            <w:r w:rsidRPr="001C3C1C">
              <w:rPr>
                <w:rFonts w:ascii="Times New Roman" w:hAnsi="Times New Roman" w:cs="Times New Roman"/>
                <w:bCs/>
                <w:color w:val="000000" w:themeColor="text1"/>
              </w:rPr>
              <w:t xml:space="preserve"> de </w:t>
            </w:r>
            <w:proofErr w:type="spellStart"/>
            <w:r w:rsidRPr="001C3C1C">
              <w:rPr>
                <w:rFonts w:ascii="Times New Roman" w:hAnsi="Times New Roman" w:cs="Times New Roman"/>
                <w:bCs/>
                <w:color w:val="000000" w:themeColor="text1"/>
              </w:rPr>
              <w:t>longevitate</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riscul</w:t>
            </w:r>
            <w:proofErr w:type="spellEnd"/>
            <w:r w:rsidRPr="001C3C1C">
              <w:rPr>
                <w:rFonts w:ascii="Times New Roman" w:hAnsi="Times New Roman" w:cs="Times New Roman"/>
                <w:bCs/>
                <w:color w:val="000000" w:themeColor="text1"/>
              </w:rPr>
              <w:t xml:space="preserve"> meteorologic, </w:t>
            </w:r>
            <w:proofErr w:type="spellStart"/>
            <w:r w:rsidRPr="001C3C1C">
              <w:rPr>
                <w:rFonts w:ascii="Times New Roman" w:hAnsi="Times New Roman" w:cs="Times New Roman"/>
                <w:bCs/>
                <w:color w:val="000000" w:themeColor="text1"/>
              </w:rPr>
              <w:t>riscul</w:t>
            </w:r>
            <w:proofErr w:type="spellEnd"/>
            <w:r w:rsidRPr="001C3C1C">
              <w:rPr>
                <w:rFonts w:ascii="Times New Roman" w:hAnsi="Times New Roman" w:cs="Times New Roman"/>
                <w:bCs/>
                <w:color w:val="000000" w:themeColor="text1"/>
              </w:rPr>
              <w:t xml:space="preserve"> de </w:t>
            </w:r>
            <w:proofErr w:type="spellStart"/>
            <w:r w:rsidRPr="001C3C1C">
              <w:rPr>
                <w:rFonts w:ascii="Times New Roman" w:hAnsi="Times New Roman" w:cs="Times New Roman"/>
                <w:bCs/>
                <w:color w:val="000000" w:themeColor="text1"/>
              </w:rPr>
              <w:t>dezastre</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naturale</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și</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riscul</w:t>
            </w:r>
            <w:proofErr w:type="spellEnd"/>
            <w:r w:rsidRPr="001C3C1C">
              <w:rPr>
                <w:rFonts w:ascii="Times New Roman" w:hAnsi="Times New Roman" w:cs="Times New Roman"/>
                <w:bCs/>
                <w:color w:val="000000" w:themeColor="text1"/>
              </w:rPr>
              <w:t xml:space="preserve"> de </w:t>
            </w:r>
            <w:proofErr w:type="spellStart"/>
            <w:r w:rsidRPr="001C3C1C">
              <w:rPr>
                <w:rFonts w:ascii="Times New Roman" w:hAnsi="Times New Roman" w:cs="Times New Roman"/>
                <w:bCs/>
                <w:color w:val="000000" w:themeColor="text1"/>
              </w:rPr>
              <w:t>volatilitate</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viitoare</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realizată</w:t>
            </w:r>
            <w:proofErr w:type="spellEnd"/>
            <w:r w:rsidRPr="001C3C1C">
              <w:rPr>
                <w:rFonts w:ascii="Times New Roman" w:hAnsi="Times New Roman" w:cs="Times New Roman"/>
                <w:bCs/>
                <w:color w:val="000000" w:themeColor="text1"/>
              </w:rPr>
              <w:t xml:space="preserve"> sunt considerate </w:t>
            </w:r>
            <w:proofErr w:type="spellStart"/>
            <w:r w:rsidRPr="001C3C1C">
              <w:rPr>
                <w:rFonts w:ascii="Times New Roman" w:hAnsi="Times New Roman" w:cs="Times New Roman"/>
                <w:bCs/>
                <w:color w:val="000000" w:themeColor="text1"/>
              </w:rPr>
              <w:t>instrumente-suport</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exotice</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în</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sensul</w:t>
            </w:r>
            <w:proofErr w:type="spellEnd"/>
            <w:r w:rsidRPr="001C3C1C">
              <w:rPr>
                <w:rFonts w:ascii="Times New Roman" w:hAnsi="Times New Roman" w:cs="Times New Roman"/>
                <w:bCs/>
                <w:color w:val="000000" w:themeColor="text1"/>
              </w:rPr>
              <w:t xml:space="preserve"> </w:t>
            </w:r>
            <w:proofErr w:type="spellStart"/>
            <w:r w:rsidRPr="001C3C1C">
              <w:rPr>
                <w:rFonts w:ascii="Times New Roman" w:hAnsi="Times New Roman" w:cs="Times New Roman"/>
                <w:bCs/>
                <w:color w:val="000000" w:themeColor="text1"/>
              </w:rPr>
              <w:t>articolului</w:t>
            </w:r>
            <w:proofErr w:type="spellEnd"/>
            <w:r w:rsidRPr="001C3C1C">
              <w:rPr>
                <w:rFonts w:ascii="Times New Roman" w:hAnsi="Times New Roman" w:cs="Times New Roman"/>
                <w:bCs/>
                <w:color w:val="000000" w:themeColor="text1"/>
              </w:rPr>
              <w:t xml:space="preserve"> 325u </w:t>
            </w:r>
            <w:proofErr w:type="spellStart"/>
            <w:r w:rsidRPr="001C3C1C">
              <w:rPr>
                <w:rFonts w:ascii="Times New Roman" w:hAnsi="Times New Roman" w:cs="Times New Roman"/>
                <w:bCs/>
                <w:color w:val="000000" w:themeColor="text1"/>
              </w:rPr>
              <w:t>alineatul</w:t>
            </w:r>
            <w:proofErr w:type="spellEnd"/>
            <w:r w:rsidRPr="001C3C1C">
              <w:rPr>
                <w:rFonts w:ascii="Times New Roman" w:hAnsi="Times New Roman" w:cs="Times New Roman"/>
                <w:bCs/>
                <w:color w:val="000000" w:themeColor="text1"/>
              </w:rPr>
              <w:t xml:space="preserve"> (2) </w:t>
            </w:r>
            <w:proofErr w:type="spellStart"/>
            <w:r w:rsidRPr="001C3C1C">
              <w:rPr>
                <w:rFonts w:ascii="Times New Roman" w:hAnsi="Times New Roman" w:cs="Times New Roman"/>
                <w:bCs/>
                <w:color w:val="000000" w:themeColor="text1"/>
              </w:rPr>
              <w:t>litera</w:t>
            </w:r>
            <w:proofErr w:type="spellEnd"/>
            <w:r w:rsidRPr="001C3C1C">
              <w:rPr>
                <w:rFonts w:ascii="Times New Roman" w:hAnsi="Times New Roman" w:cs="Times New Roman"/>
                <w:bCs/>
                <w:color w:val="000000" w:themeColor="text1"/>
              </w:rPr>
              <w:t xml:space="preserve"> (a) din </w:t>
            </w:r>
            <w:proofErr w:type="spellStart"/>
            <w:r w:rsidRPr="001C3C1C">
              <w:rPr>
                <w:rFonts w:ascii="Times New Roman" w:hAnsi="Times New Roman" w:cs="Times New Roman"/>
                <w:bCs/>
                <w:color w:val="000000" w:themeColor="text1"/>
              </w:rPr>
              <w:t>Regulamentul</w:t>
            </w:r>
            <w:proofErr w:type="spellEnd"/>
            <w:r w:rsidRPr="001C3C1C">
              <w:rPr>
                <w:rFonts w:ascii="Times New Roman" w:hAnsi="Times New Roman" w:cs="Times New Roman"/>
                <w:bCs/>
                <w:color w:val="000000" w:themeColor="text1"/>
              </w:rPr>
              <w:t xml:space="preserve"> (UE) nr. 575/2013.</w:t>
            </w:r>
          </w:p>
        </w:tc>
        <w:tc>
          <w:tcPr>
            <w:tcW w:w="1557" w:type="pct"/>
          </w:tcPr>
          <w:p w14:paraId="7407AEBF" w14:textId="5C5300B9" w:rsidR="007A24CE" w:rsidRPr="001C3C1C" w:rsidRDefault="001C3C1C" w:rsidP="003228C3">
            <w:pPr>
              <w:spacing w:line="276" w:lineRule="auto"/>
              <w:rPr>
                <w:rFonts w:ascii="Times New Roman" w:hAnsi="Times New Roman" w:cs="Times New Roman"/>
                <w:bCs/>
                <w:color w:val="000000" w:themeColor="text1"/>
              </w:rPr>
            </w:pPr>
            <w:bookmarkStart w:id="5" w:name="_Hlk223620852"/>
            <w:r>
              <w:rPr>
                <w:rFonts w:ascii="Times New Roman" w:hAnsi="Times New Roman" w:cs="Times New Roman"/>
                <w:bCs/>
                <w:color w:val="000000" w:themeColor="text1"/>
              </w:rPr>
              <w:t xml:space="preserve">1. </w:t>
            </w:r>
            <w:proofErr w:type="spellStart"/>
            <w:r w:rsidR="007A24CE" w:rsidRPr="001C3C1C">
              <w:rPr>
                <w:rFonts w:ascii="Times New Roman" w:hAnsi="Times New Roman" w:cs="Times New Roman"/>
                <w:bCs/>
                <w:color w:val="000000" w:themeColor="text1"/>
              </w:rPr>
              <w:t>Riscul</w:t>
            </w:r>
            <w:proofErr w:type="spellEnd"/>
            <w:r w:rsidR="007A24CE" w:rsidRPr="001C3C1C">
              <w:rPr>
                <w:rFonts w:ascii="Times New Roman" w:hAnsi="Times New Roman" w:cs="Times New Roman"/>
                <w:bCs/>
                <w:color w:val="000000" w:themeColor="text1"/>
              </w:rPr>
              <w:t xml:space="preserve"> de </w:t>
            </w:r>
            <w:proofErr w:type="spellStart"/>
            <w:r w:rsidR="007A24CE" w:rsidRPr="001C3C1C">
              <w:rPr>
                <w:rFonts w:ascii="Times New Roman" w:hAnsi="Times New Roman" w:cs="Times New Roman"/>
                <w:bCs/>
                <w:color w:val="000000" w:themeColor="text1"/>
              </w:rPr>
              <w:t>longevitate</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riscul</w:t>
            </w:r>
            <w:proofErr w:type="spellEnd"/>
            <w:r w:rsidR="007A24CE" w:rsidRPr="001C3C1C">
              <w:rPr>
                <w:rFonts w:ascii="Times New Roman" w:hAnsi="Times New Roman" w:cs="Times New Roman"/>
                <w:bCs/>
                <w:color w:val="000000" w:themeColor="text1"/>
              </w:rPr>
              <w:t xml:space="preserve"> meteorologic, </w:t>
            </w:r>
            <w:proofErr w:type="spellStart"/>
            <w:r w:rsidR="007A24CE" w:rsidRPr="001C3C1C">
              <w:rPr>
                <w:rFonts w:ascii="Times New Roman" w:hAnsi="Times New Roman" w:cs="Times New Roman"/>
                <w:bCs/>
                <w:color w:val="000000" w:themeColor="text1"/>
              </w:rPr>
              <w:t>riscul</w:t>
            </w:r>
            <w:proofErr w:type="spellEnd"/>
            <w:r w:rsidR="007A24CE" w:rsidRPr="001C3C1C">
              <w:rPr>
                <w:rFonts w:ascii="Times New Roman" w:hAnsi="Times New Roman" w:cs="Times New Roman"/>
                <w:bCs/>
                <w:color w:val="000000" w:themeColor="text1"/>
              </w:rPr>
              <w:t xml:space="preserve"> de </w:t>
            </w:r>
            <w:proofErr w:type="spellStart"/>
            <w:r w:rsidR="007A24CE" w:rsidRPr="001C3C1C">
              <w:rPr>
                <w:rFonts w:ascii="Times New Roman" w:hAnsi="Times New Roman" w:cs="Times New Roman"/>
                <w:bCs/>
                <w:color w:val="000000" w:themeColor="text1"/>
              </w:rPr>
              <w:t>dezastre</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naturale</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și</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riscul</w:t>
            </w:r>
            <w:proofErr w:type="spellEnd"/>
            <w:r w:rsidR="007A24CE" w:rsidRPr="001C3C1C">
              <w:rPr>
                <w:rFonts w:ascii="Times New Roman" w:hAnsi="Times New Roman" w:cs="Times New Roman"/>
                <w:bCs/>
                <w:color w:val="000000" w:themeColor="text1"/>
              </w:rPr>
              <w:t xml:space="preserve"> de </w:t>
            </w:r>
            <w:proofErr w:type="spellStart"/>
            <w:r w:rsidR="007A24CE" w:rsidRPr="001C3C1C">
              <w:rPr>
                <w:rFonts w:ascii="Times New Roman" w:hAnsi="Times New Roman" w:cs="Times New Roman"/>
                <w:bCs/>
                <w:color w:val="000000" w:themeColor="text1"/>
              </w:rPr>
              <w:t>volatilitate</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viitoare</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realizată</w:t>
            </w:r>
            <w:proofErr w:type="spellEnd"/>
            <w:r w:rsidR="007A24CE" w:rsidRPr="001C3C1C">
              <w:rPr>
                <w:rFonts w:ascii="Times New Roman" w:hAnsi="Times New Roman" w:cs="Times New Roman"/>
                <w:bCs/>
                <w:color w:val="000000" w:themeColor="text1"/>
              </w:rPr>
              <w:t xml:space="preserve"> sunt considerate </w:t>
            </w:r>
            <w:proofErr w:type="spellStart"/>
            <w:r w:rsidR="007A24CE" w:rsidRPr="001C3C1C">
              <w:rPr>
                <w:rFonts w:ascii="Times New Roman" w:hAnsi="Times New Roman" w:cs="Times New Roman"/>
                <w:bCs/>
                <w:color w:val="000000" w:themeColor="text1"/>
              </w:rPr>
              <w:t>instrumente-suport</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exotice</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în</w:t>
            </w:r>
            <w:proofErr w:type="spellEnd"/>
            <w:r w:rsidR="007A24CE" w:rsidRPr="001C3C1C">
              <w:rPr>
                <w:rFonts w:ascii="Times New Roman" w:hAnsi="Times New Roman" w:cs="Times New Roman"/>
                <w:bCs/>
                <w:color w:val="000000" w:themeColor="text1"/>
              </w:rPr>
              <w:t xml:space="preserve"> </w:t>
            </w:r>
            <w:proofErr w:type="spellStart"/>
            <w:r w:rsidR="007A24CE" w:rsidRPr="001C3C1C">
              <w:rPr>
                <w:rFonts w:ascii="Times New Roman" w:hAnsi="Times New Roman" w:cs="Times New Roman"/>
                <w:bCs/>
                <w:color w:val="000000" w:themeColor="text1"/>
              </w:rPr>
              <w:t>sensul</w:t>
            </w:r>
            <w:proofErr w:type="spellEnd"/>
            <w:r w:rsidR="007A24CE" w:rsidRPr="001C3C1C">
              <w:rPr>
                <w:rFonts w:ascii="Times New Roman" w:hAnsi="Times New Roman" w:cs="Times New Roman"/>
                <w:bCs/>
                <w:color w:val="000000" w:themeColor="text1"/>
              </w:rPr>
              <w:t xml:space="preserve"> </w:t>
            </w:r>
            <w:r>
              <w:rPr>
                <w:rFonts w:ascii="Times New Roman" w:hAnsi="Times New Roman" w:cs="Times New Roman"/>
                <w:bCs/>
                <w:color w:val="000000" w:themeColor="text1"/>
              </w:rPr>
              <w:t>subpct.219.1</w:t>
            </w:r>
            <w:r w:rsidR="007A24CE" w:rsidRPr="001C3C1C">
              <w:rPr>
                <w:rFonts w:ascii="Times New Roman" w:hAnsi="Times New Roman" w:cs="Times New Roman"/>
                <w:bCs/>
                <w:color w:val="000000" w:themeColor="text1"/>
              </w:rPr>
              <w:t xml:space="preserve"> din </w:t>
            </w:r>
            <w:proofErr w:type="spellStart"/>
            <w:r w:rsidR="007A24CE" w:rsidRPr="001C3C1C">
              <w:rPr>
                <w:rFonts w:ascii="Times New Roman" w:hAnsi="Times New Roman" w:cs="Times New Roman"/>
                <w:bCs/>
                <w:color w:val="000000" w:themeColor="text1"/>
              </w:rPr>
              <w:t>Regulamentul</w:t>
            </w:r>
            <w:proofErr w:type="spellEnd"/>
            <w:r w:rsidR="007A24CE" w:rsidRPr="001C3C1C">
              <w:rPr>
                <w:rFonts w:ascii="Times New Roman" w:hAnsi="Times New Roman" w:cs="Times New Roman"/>
                <w:bCs/>
                <w:color w:val="000000" w:themeColor="text1"/>
              </w:rPr>
              <w:t xml:space="preserve"> </w:t>
            </w:r>
            <w:r w:rsidRPr="007A3265">
              <w:rPr>
                <w:rFonts w:ascii="Times New Roman" w:hAnsi="Times New Roman" w:cs="Times New Roman"/>
                <w:color w:val="000000" w:themeColor="text1"/>
                <w:lang w:val="ro-MD"/>
              </w:rPr>
              <w:t>privind cerințe de fonduri proprii pentru riscul de piață</w:t>
            </w:r>
            <w:r w:rsidR="007A24CE" w:rsidRPr="001C3C1C">
              <w:rPr>
                <w:rFonts w:ascii="Times New Roman" w:hAnsi="Times New Roman" w:cs="Times New Roman"/>
                <w:color w:val="000000" w:themeColor="text1"/>
              </w:rPr>
              <w:t>.</w:t>
            </w:r>
            <w:bookmarkEnd w:id="5"/>
          </w:p>
        </w:tc>
        <w:tc>
          <w:tcPr>
            <w:tcW w:w="585" w:type="pct"/>
          </w:tcPr>
          <w:p w14:paraId="65C7D789" w14:textId="0F7BF338" w:rsidR="007A24CE" w:rsidRPr="000942FB" w:rsidRDefault="00987FB4" w:rsidP="003228C3">
            <w:pPr>
              <w:spacing w:line="276" w:lineRule="auto"/>
              <w:rPr>
                <w:rFonts w:ascii="Times New Roman" w:hAnsi="Times New Roman" w:cs="Times New Roman"/>
                <w:bCs/>
                <w:color w:val="000000" w:themeColor="text1"/>
                <w:lang w:val="ro-MD"/>
              </w:rPr>
            </w:pPr>
            <w:r w:rsidRPr="009B7460">
              <w:rPr>
                <w:rFonts w:ascii="Times New Roman" w:hAnsi="Times New Roman" w:cs="Times New Roman"/>
                <w:color w:val="000000" w:themeColor="text1"/>
                <w:lang w:val="ro-MD"/>
              </w:rPr>
              <w:t>compatibil</w:t>
            </w:r>
          </w:p>
        </w:tc>
        <w:tc>
          <w:tcPr>
            <w:tcW w:w="1261" w:type="pct"/>
          </w:tcPr>
          <w:p w14:paraId="3EA4903D"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6B4510" w14:paraId="1E0BD3D9" w14:textId="77777777" w:rsidTr="007A24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4"/>
        </w:trPr>
        <w:tc>
          <w:tcPr>
            <w:tcW w:w="1597" w:type="pct"/>
          </w:tcPr>
          <w:p w14:paraId="5544E1A4" w14:textId="77777777" w:rsidR="007A24CE" w:rsidRPr="007A24CE" w:rsidRDefault="007A24CE" w:rsidP="007A24CE">
            <w:pPr>
              <w:spacing w:line="276" w:lineRule="auto"/>
              <w:rPr>
                <w:rFonts w:ascii="Times New Roman" w:hAnsi="Times New Roman" w:cs="Times New Roman"/>
                <w:bCs/>
                <w:i/>
                <w:iCs/>
                <w:color w:val="000000" w:themeColor="text1"/>
                <w:lang w:val="ro-MD"/>
              </w:rPr>
            </w:pPr>
            <w:r w:rsidRPr="007A24CE">
              <w:rPr>
                <w:rFonts w:ascii="Times New Roman" w:hAnsi="Times New Roman" w:cs="Times New Roman"/>
                <w:bCs/>
                <w:i/>
                <w:iCs/>
                <w:color w:val="000000" w:themeColor="text1"/>
                <w:lang w:val="ro-MD"/>
              </w:rPr>
              <w:t>Articolul 2</w:t>
            </w:r>
          </w:p>
          <w:p w14:paraId="0ABA75E0" w14:textId="6D3A9254"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
                <w:bCs/>
                <w:color w:val="000000" w:themeColor="text1"/>
                <w:lang w:val="ro-MD"/>
              </w:rPr>
              <w:t>Precizări privind instrumentele care prezintă riscuri reziduale</w:t>
            </w:r>
          </w:p>
        </w:tc>
        <w:tc>
          <w:tcPr>
            <w:tcW w:w="1557" w:type="pct"/>
          </w:tcPr>
          <w:p w14:paraId="08B31C14" w14:textId="32BB721F" w:rsidR="007A24CE" w:rsidRPr="00987FB4" w:rsidRDefault="001C3C1C" w:rsidP="007A24CE">
            <w:pPr>
              <w:spacing w:line="276" w:lineRule="auto"/>
              <w:rPr>
                <w:rFonts w:ascii="Times New Roman" w:hAnsi="Times New Roman" w:cs="Times New Roman"/>
                <w:b/>
                <w:bCs/>
                <w:i/>
                <w:iCs/>
                <w:color w:val="000000" w:themeColor="text1"/>
                <w:lang w:val="ro-MD"/>
              </w:rPr>
            </w:pPr>
            <w:bookmarkStart w:id="6" w:name="_Hlk223620893"/>
            <w:r w:rsidRPr="001C3C1C">
              <w:rPr>
                <w:rFonts w:ascii="Times New Roman" w:hAnsi="Times New Roman" w:cs="Times New Roman"/>
                <w:b/>
                <w:bCs/>
                <w:i/>
                <w:iCs/>
                <w:color w:val="000000" w:themeColor="text1"/>
                <w:lang w:val="ro-MD"/>
              </w:rPr>
              <w:t xml:space="preserve">Secțiunea </w:t>
            </w:r>
            <w:r>
              <w:rPr>
                <w:rFonts w:ascii="Times New Roman" w:hAnsi="Times New Roman" w:cs="Times New Roman"/>
                <w:b/>
                <w:bCs/>
                <w:i/>
                <w:iCs/>
                <w:color w:val="000000" w:themeColor="text1"/>
                <w:lang w:val="ro-MD"/>
              </w:rPr>
              <w:t>2</w:t>
            </w:r>
            <w:r w:rsidRPr="001C3C1C">
              <w:rPr>
                <w:rFonts w:ascii="Times New Roman" w:hAnsi="Times New Roman" w:cs="Times New Roman"/>
                <w:b/>
                <w:bCs/>
                <w:i/>
                <w:iCs/>
                <w:color w:val="000000" w:themeColor="text1"/>
                <w:lang w:val="ro-MD"/>
              </w:rPr>
              <w:t>.</w:t>
            </w:r>
            <w:r w:rsidR="00987FB4">
              <w:rPr>
                <w:rFonts w:ascii="Times New Roman" w:hAnsi="Times New Roman" w:cs="Times New Roman"/>
                <w:b/>
                <w:bCs/>
                <w:i/>
                <w:iCs/>
                <w:color w:val="000000" w:themeColor="text1"/>
                <w:lang w:val="ro-MD"/>
              </w:rPr>
              <w:t xml:space="preserve"> </w:t>
            </w:r>
            <w:r w:rsidR="007A24CE" w:rsidRPr="00987FB4">
              <w:rPr>
                <w:rFonts w:ascii="Times New Roman" w:hAnsi="Times New Roman" w:cs="Times New Roman"/>
                <w:b/>
                <w:bCs/>
                <w:i/>
                <w:iCs/>
                <w:color w:val="000000" w:themeColor="text1"/>
                <w:lang w:val="ro-MD"/>
              </w:rPr>
              <w:t>Precizări privind instrumentele care prezintă riscuri reziduale</w:t>
            </w:r>
          </w:p>
          <w:bookmarkEnd w:id="6"/>
          <w:p w14:paraId="2E48D5BD" w14:textId="77777777" w:rsidR="007A24CE" w:rsidRPr="007A24CE" w:rsidRDefault="007A24CE" w:rsidP="003228C3">
            <w:pPr>
              <w:spacing w:line="276" w:lineRule="auto"/>
              <w:rPr>
                <w:rFonts w:ascii="Times New Roman" w:hAnsi="Times New Roman" w:cs="Times New Roman"/>
                <w:bCs/>
                <w:color w:val="000000" w:themeColor="text1"/>
                <w:lang w:val="ro-MD"/>
              </w:rPr>
            </w:pPr>
          </w:p>
        </w:tc>
        <w:tc>
          <w:tcPr>
            <w:tcW w:w="585" w:type="pct"/>
          </w:tcPr>
          <w:p w14:paraId="3B3C7273" w14:textId="77777777" w:rsidR="007A24CE" w:rsidRPr="000942FB" w:rsidRDefault="007A24CE" w:rsidP="003228C3">
            <w:pPr>
              <w:spacing w:line="276" w:lineRule="auto"/>
              <w:rPr>
                <w:rFonts w:ascii="Times New Roman" w:hAnsi="Times New Roman" w:cs="Times New Roman"/>
                <w:bCs/>
                <w:color w:val="000000" w:themeColor="text1"/>
                <w:lang w:val="ro-MD"/>
              </w:rPr>
            </w:pPr>
          </w:p>
        </w:tc>
        <w:tc>
          <w:tcPr>
            <w:tcW w:w="1261" w:type="pct"/>
          </w:tcPr>
          <w:p w14:paraId="18FF87DC"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1C3C1C" w14:paraId="7BD81E38"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C7A4F89" w14:textId="6DFB6584" w:rsidR="007A24CE" w:rsidRPr="007A24CE" w:rsidRDefault="007A24CE" w:rsidP="003228C3">
            <w:pPr>
              <w:spacing w:line="276" w:lineRule="auto"/>
              <w:rPr>
                <w:rFonts w:ascii="Times New Roman" w:hAnsi="Times New Roman" w:cs="Times New Roman"/>
                <w:bCs/>
                <w:color w:val="000000" w:themeColor="text1"/>
                <w:lang w:val="it-IT"/>
              </w:rPr>
            </w:pPr>
            <w:r w:rsidRPr="007A24CE">
              <w:rPr>
                <w:rFonts w:ascii="Times New Roman" w:hAnsi="Times New Roman" w:cs="Times New Roman"/>
                <w:bCs/>
                <w:color w:val="000000" w:themeColor="text1"/>
                <w:lang w:val="it-IT"/>
              </w:rPr>
              <w:t>Instrumentele enumerate în anexa la prezentul regulament sunt considerate instrumente care îndeplinesc condițiile prevăzute la articolul 325u alineatul (2) din Regulamentul (UE) nr. 575/2013 și care constituie instrumente ce prezintă riscuri reziduale.</w:t>
            </w:r>
          </w:p>
        </w:tc>
        <w:tc>
          <w:tcPr>
            <w:tcW w:w="1557" w:type="pct"/>
          </w:tcPr>
          <w:p w14:paraId="0B4A1ECD" w14:textId="16FFB64C" w:rsidR="007A24CE" w:rsidRPr="007A24CE" w:rsidRDefault="001C3C1C" w:rsidP="003228C3">
            <w:pPr>
              <w:spacing w:line="276" w:lineRule="auto"/>
              <w:rPr>
                <w:rFonts w:ascii="Times New Roman" w:hAnsi="Times New Roman" w:cs="Times New Roman"/>
                <w:bCs/>
                <w:color w:val="000000" w:themeColor="text1"/>
                <w:lang w:val="it-IT"/>
              </w:rPr>
            </w:pPr>
            <w:bookmarkStart w:id="7" w:name="_Hlk223620914"/>
            <w:r>
              <w:rPr>
                <w:rFonts w:ascii="Times New Roman" w:hAnsi="Times New Roman" w:cs="Times New Roman"/>
                <w:bCs/>
                <w:color w:val="000000" w:themeColor="text1"/>
                <w:lang w:val="it-IT"/>
              </w:rPr>
              <w:t xml:space="preserve">2. </w:t>
            </w:r>
            <w:r w:rsidR="007A24CE" w:rsidRPr="007A24CE">
              <w:rPr>
                <w:rFonts w:ascii="Times New Roman" w:hAnsi="Times New Roman" w:cs="Times New Roman"/>
                <w:bCs/>
                <w:color w:val="000000" w:themeColor="text1"/>
                <w:lang w:val="it-IT"/>
              </w:rPr>
              <w:t xml:space="preserve">Instrumentele enumerate în </w:t>
            </w:r>
            <w:r w:rsidR="00D35FF8">
              <w:rPr>
                <w:rFonts w:ascii="Times New Roman" w:hAnsi="Times New Roman" w:cs="Times New Roman"/>
                <w:bCs/>
                <w:color w:val="000000" w:themeColor="text1"/>
                <w:lang w:val="it-IT"/>
              </w:rPr>
              <w:t>tabelul</w:t>
            </w:r>
            <w:r w:rsidR="00D35FF8" w:rsidRPr="007A24CE">
              <w:rPr>
                <w:rFonts w:ascii="Times New Roman" w:hAnsi="Times New Roman" w:cs="Times New Roman"/>
                <w:bCs/>
                <w:color w:val="000000" w:themeColor="text1"/>
                <w:lang w:val="it-IT"/>
              </w:rPr>
              <w:t xml:space="preserve"> </w:t>
            </w:r>
            <w:r w:rsidR="007A24CE" w:rsidRPr="007A24CE">
              <w:rPr>
                <w:rFonts w:ascii="Times New Roman" w:hAnsi="Times New Roman" w:cs="Times New Roman"/>
                <w:bCs/>
                <w:color w:val="000000" w:themeColor="text1"/>
                <w:lang w:val="it-IT"/>
              </w:rPr>
              <w:t xml:space="preserve">la </w:t>
            </w:r>
            <w:r w:rsidR="00D35FF8">
              <w:rPr>
                <w:rFonts w:ascii="Times New Roman" w:hAnsi="Times New Roman" w:cs="Times New Roman"/>
                <w:bCs/>
                <w:color w:val="000000" w:themeColor="text1"/>
                <w:lang w:val="it-IT"/>
              </w:rPr>
              <w:t>prezenta anexă</w:t>
            </w:r>
            <w:r w:rsidR="007A24CE" w:rsidRPr="007A24CE">
              <w:rPr>
                <w:rFonts w:ascii="Times New Roman" w:hAnsi="Times New Roman" w:cs="Times New Roman"/>
                <w:bCs/>
                <w:color w:val="000000" w:themeColor="text1"/>
                <w:lang w:val="it-IT"/>
              </w:rPr>
              <w:t xml:space="preserve"> sunt considerate instrumente care îndeplinesc condițiile prevăzute la </w:t>
            </w:r>
            <w:r w:rsidR="00D35FF8">
              <w:rPr>
                <w:rFonts w:ascii="Times New Roman" w:hAnsi="Times New Roman" w:cs="Times New Roman"/>
                <w:bCs/>
                <w:color w:val="000000" w:themeColor="text1"/>
                <w:lang w:val="it-IT"/>
              </w:rPr>
              <w:t xml:space="preserve">pct.219 </w:t>
            </w:r>
            <w:r w:rsidR="00D35FF8" w:rsidRPr="00D35FF8">
              <w:rPr>
                <w:rFonts w:ascii="Times New Roman" w:hAnsi="Times New Roman" w:cs="Times New Roman"/>
                <w:bCs/>
                <w:color w:val="000000" w:themeColor="text1"/>
                <w:lang w:val="it-IT"/>
              </w:rPr>
              <w:t xml:space="preserve">din Regulamentul privind cerințe de fonduri proprii pentru riscul de piață </w:t>
            </w:r>
            <w:r w:rsidR="007A24CE" w:rsidRPr="007A24CE">
              <w:rPr>
                <w:rFonts w:ascii="Times New Roman" w:hAnsi="Times New Roman" w:cs="Times New Roman"/>
                <w:bCs/>
                <w:color w:val="000000" w:themeColor="text1"/>
                <w:lang w:val="it-IT"/>
              </w:rPr>
              <w:t>și care constituie instrumente ce prezintă riscuri reziduale.</w:t>
            </w:r>
            <w:bookmarkEnd w:id="7"/>
          </w:p>
        </w:tc>
        <w:tc>
          <w:tcPr>
            <w:tcW w:w="585" w:type="pct"/>
          </w:tcPr>
          <w:p w14:paraId="358C64C2" w14:textId="17F92A2C" w:rsidR="007A24CE" w:rsidRPr="000942FB" w:rsidRDefault="009B7460" w:rsidP="003228C3">
            <w:pPr>
              <w:spacing w:line="276" w:lineRule="auto"/>
              <w:rPr>
                <w:rFonts w:ascii="Times New Roman" w:hAnsi="Times New Roman" w:cs="Times New Roman"/>
                <w:bCs/>
                <w:color w:val="000000" w:themeColor="text1"/>
                <w:lang w:val="ro-MD"/>
              </w:rPr>
            </w:pPr>
            <w:r w:rsidRPr="009B7460">
              <w:rPr>
                <w:rFonts w:ascii="Times New Roman" w:hAnsi="Times New Roman" w:cs="Times New Roman"/>
                <w:bCs/>
                <w:color w:val="000000" w:themeColor="text1"/>
                <w:lang w:val="ro-MD"/>
              </w:rPr>
              <w:t>compatibil</w:t>
            </w:r>
          </w:p>
        </w:tc>
        <w:tc>
          <w:tcPr>
            <w:tcW w:w="1261" w:type="pct"/>
          </w:tcPr>
          <w:p w14:paraId="6602287D"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6B4510" w14:paraId="06FBAC08"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340BA9B" w14:textId="77777777" w:rsidR="007A24CE" w:rsidRPr="007A24CE" w:rsidRDefault="007A24CE" w:rsidP="007A24CE">
            <w:pPr>
              <w:spacing w:line="276" w:lineRule="auto"/>
              <w:rPr>
                <w:rFonts w:ascii="Times New Roman" w:hAnsi="Times New Roman" w:cs="Times New Roman"/>
                <w:bCs/>
                <w:i/>
                <w:iCs/>
                <w:color w:val="000000" w:themeColor="text1"/>
                <w:lang w:val="ro-MD"/>
              </w:rPr>
            </w:pPr>
            <w:r w:rsidRPr="007A24CE">
              <w:rPr>
                <w:rFonts w:ascii="Times New Roman" w:hAnsi="Times New Roman" w:cs="Times New Roman"/>
                <w:bCs/>
                <w:i/>
                <w:iCs/>
                <w:color w:val="000000" w:themeColor="text1"/>
                <w:lang w:val="ro-MD"/>
              </w:rPr>
              <w:lastRenderedPageBreak/>
              <w:t>Articolul 3</w:t>
            </w:r>
          </w:p>
          <w:p w14:paraId="0BE7BF3F" w14:textId="1CFCF023" w:rsidR="007A24CE" w:rsidRPr="007A24CE" w:rsidRDefault="007A24CE" w:rsidP="001103DB">
            <w:pPr>
              <w:spacing w:line="276" w:lineRule="auto"/>
              <w:rPr>
                <w:rFonts w:ascii="Times New Roman" w:hAnsi="Times New Roman" w:cs="Times New Roman"/>
                <w:bCs/>
                <w:color w:val="000000" w:themeColor="text1"/>
                <w:lang w:val="ro-MD"/>
              </w:rPr>
            </w:pPr>
            <w:r w:rsidRPr="007A24CE">
              <w:rPr>
                <w:rFonts w:ascii="Times New Roman" w:hAnsi="Times New Roman" w:cs="Times New Roman"/>
                <w:b/>
                <w:bCs/>
                <w:color w:val="000000" w:themeColor="text1"/>
                <w:lang w:val="ro-MD"/>
              </w:rPr>
              <w:t>Precizări privind instrumentele în legătură cu care există prezumția că prezintă riscuri reziduale</w:t>
            </w:r>
          </w:p>
        </w:tc>
        <w:tc>
          <w:tcPr>
            <w:tcW w:w="1557" w:type="pct"/>
          </w:tcPr>
          <w:p w14:paraId="54A07CDF" w14:textId="649E7963" w:rsidR="007A24CE" w:rsidRPr="007A24CE" w:rsidRDefault="00D35FF8" w:rsidP="007A24CE">
            <w:pPr>
              <w:spacing w:line="276" w:lineRule="auto"/>
              <w:rPr>
                <w:rFonts w:ascii="Times New Roman" w:hAnsi="Times New Roman" w:cs="Times New Roman"/>
                <w:bCs/>
                <w:color w:val="000000" w:themeColor="text1"/>
                <w:lang w:val="ro-MD"/>
              </w:rPr>
            </w:pPr>
            <w:bookmarkStart w:id="8" w:name="_Hlk223620942"/>
            <w:r w:rsidRPr="00D35FF8">
              <w:rPr>
                <w:rFonts w:ascii="Times New Roman" w:hAnsi="Times New Roman" w:cs="Times New Roman"/>
                <w:b/>
                <w:bCs/>
                <w:i/>
                <w:iCs/>
                <w:color w:val="000000" w:themeColor="text1"/>
                <w:lang w:val="ro-MD"/>
              </w:rPr>
              <w:t xml:space="preserve">Secțiunea </w:t>
            </w:r>
            <w:r>
              <w:rPr>
                <w:rFonts w:ascii="Times New Roman" w:hAnsi="Times New Roman" w:cs="Times New Roman"/>
                <w:b/>
                <w:bCs/>
                <w:i/>
                <w:iCs/>
                <w:color w:val="000000" w:themeColor="text1"/>
                <w:lang w:val="ro-MD"/>
              </w:rPr>
              <w:t>3.</w:t>
            </w:r>
            <w:r w:rsidR="00987FB4">
              <w:rPr>
                <w:rFonts w:ascii="Times New Roman" w:hAnsi="Times New Roman" w:cs="Times New Roman"/>
                <w:b/>
                <w:bCs/>
                <w:i/>
                <w:iCs/>
                <w:color w:val="000000" w:themeColor="text1"/>
                <w:lang w:val="ro-MD"/>
              </w:rPr>
              <w:t xml:space="preserve"> </w:t>
            </w:r>
            <w:r w:rsidR="007A24CE" w:rsidRPr="00987FB4">
              <w:rPr>
                <w:rFonts w:ascii="Times New Roman" w:hAnsi="Times New Roman" w:cs="Times New Roman"/>
                <w:b/>
                <w:bCs/>
                <w:i/>
                <w:iCs/>
                <w:color w:val="000000" w:themeColor="text1"/>
                <w:lang w:val="ro-MD"/>
              </w:rPr>
              <w:t>Precizări privind instrumentele în legătură cu care există prezumția că prezintă riscuri reziduale</w:t>
            </w:r>
            <w:bookmarkEnd w:id="8"/>
          </w:p>
        </w:tc>
        <w:tc>
          <w:tcPr>
            <w:tcW w:w="585" w:type="pct"/>
          </w:tcPr>
          <w:p w14:paraId="2BE35E90" w14:textId="77777777" w:rsidR="007A24CE" w:rsidRPr="000942FB" w:rsidRDefault="007A24CE" w:rsidP="003228C3">
            <w:pPr>
              <w:spacing w:line="276" w:lineRule="auto"/>
              <w:rPr>
                <w:rFonts w:ascii="Times New Roman" w:hAnsi="Times New Roman" w:cs="Times New Roman"/>
                <w:bCs/>
                <w:color w:val="000000" w:themeColor="text1"/>
                <w:lang w:val="ro-MD"/>
              </w:rPr>
            </w:pPr>
          </w:p>
        </w:tc>
        <w:tc>
          <w:tcPr>
            <w:tcW w:w="1261" w:type="pct"/>
          </w:tcPr>
          <w:p w14:paraId="4CAF9533"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1C3C1C" w14:paraId="2EE36D36"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6CB8111"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Se consideră că un instrument nu îndeplinește condițiile prevăzute la articolul 325u alineatul (2) litera (b) punctele (i) și (ii) din Regulamentul (UE) nr. 575/2013 numai prin faptul că prezintă unul sau mai multe dintre următoarele riscuri:</w:t>
            </w:r>
          </w:p>
          <w:tbl>
            <w:tblPr>
              <w:tblW w:w="4865" w:type="dxa"/>
              <w:shd w:val="clear" w:color="auto" w:fill="FFFFFF"/>
              <w:tblLayout w:type="fixed"/>
              <w:tblCellMar>
                <w:left w:w="0" w:type="dxa"/>
                <w:right w:w="0" w:type="dxa"/>
              </w:tblCellMar>
              <w:tblLook w:val="04A0" w:firstRow="1" w:lastRow="0" w:firstColumn="1" w:lastColumn="0" w:noHBand="0" w:noVBand="1"/>
            </w:tblPr>
            <w:tblGrid>
              <w:gridCol w:w="470"/>
              <w:gridCol w:w="4395"/>
            </w:tblGrid>
            <w:tr w:rsidR="007A24CE" w:rsidRPr="006B4510" w14:paraId="648FAF60" w14:textId="77777777" w:rsidTr="007A24CE">
              <w:tc>
                <w:tcPr>
                  <w:tcW w:w="470" w:type="dxa"/>
                  <w:shd w:val="clear" w:color="auto" w:fill="FFFFFF"/>
                  <w:hideMark/>
                </w:tcPr>
                <w:p w14:paraId="18232CD7"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(a)</w:t>
                  </w:r>
                </w:p>
              </w:tc>
              <w:tc>
                <w:tcPr>
                  <w:tcW w:w="4395" w:type="dxa"/>
                  <w:shd w:val="clear" w:color="auto" w:fill="FFFFFF"/>
                  <w:hideMark/>
                </w:tcPr>
                <w:p w14:paraId="187BE868"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 xml:space="preserve">riscul care decurge din tranzacții în care obligația de livrare poate fi îndeplinită cu o gamă de instrumente livrabile și în care </w:t>
                  </w:r>
                  <w:proofErr w:type="spellStart"/>
                  <w:r w:rsidRPr="007A24CE">
                    <w:rPr>
                      <w:rFonts w:ascii="Times New Roman" w:hAnsi="Times New Roman" w:cs="Times New Roman"/>
                      <w:bCs/>
                      <w:color w:val="000000" w:themeColor="text1"/>
                      <w:lang w:val="ro-MD"/>
                    </w:rPr>
                    <w:t>contrapartea</w:t>
                  </w:r>
                  <w:proofErr w:type="spellEnd"/>
                  <w:r w:rsidRPr="007A24CE">
                    <w:rPr>
                      <w:rFonts w:ascii="Times New Roman" w:hAnsi="Times New Roman" w:cs="Times New Roman"/>
                      <w:bCs/>
                      <w:color w:val="000000" w:themeColor="text1"/>
                      <w:lang w:val="ro-MD"/>
                    </w:rPr>
                    <w:t xml:space="preserve"> are posibilitatea de a livra instrumentele de acest tip cu cea mai mică valoare;</w:t>
                  </w:r>
                </w:p>
              </w:tc>
            </w:tr>
          </w:tbl>
          <w:p w14:paraId="7747EEA8" w14:textId="77777777" w:rsidR="007A24CE" w:rsidRPr="007A24CE" w:rsidRDefault="007A24CE" w:rsidP="007A24CE">
            <w:pPr>
              <w:spacing w:line="276" w:lineRule="auto"/>
              <w:rPr>
                <w:rFonts w:ascii="Times New Roman" w:hAnsi="Times New Roman" w:cs="Times New Roman"/>
                <w:bCs/>
                <w:vanish/>
                <w:color w:val="000000" w:themeColor="text1"/>
                <w:lang w:val="ro-MD"/>
              </w:rPr>
            </w:pPr>
          </w:p>
          <w:tbl>
            <w:tblPr>
              <w:tblW w:w="4865" w:type="dxa"/>
              <w:shd w:val="clear" w:color="auto" w:fill="FFFFFF"/>
              <w:tblLayout w:type="fixed"/>
              <w:tblCellMar>
                <w:left w:w="0" w:type="dxa"/>
                <w:right w:w="0" w:type="dxa"/>
              </w:tblCellMar>
              <w:tblLook w:val="04A0" w:firstRow="1" w:lastRow="0" w:firstColumn="1" w:lastColumn="0" w:noHBand="0" w:noVBand="1"/>
            </w:tblPr>
            <w:tblGrid>
              <w:gridCol w:w="470"/>
              <w:gridCol w:w="4395"/>
            </w:tblGrid>
            <w:tr w:rsidR="007A24CE" w:rsidRPr="006B4510" w14:paraId="5ED085C9" w14:textId="77777777" w:rsidTr="007A24CE">
              <w:tc>
                <w:tcPr>
                  <w:tcW w:w="470" w:type="dxa"/>
                  <w:shd w:val="clear" w:color="auto" w:fill="FFFFFF"/>
                  <w:hideMark/>
                </w:tcPr>
                <w:p w14:paraId="1D9B9BBE"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(b)</w:t>
                  </w:r>
                </w:p>
              </w:tc>
              <w:tc>
                <w:tcPr>
                  <w:tcW w:w="4395" w:type="dxa"/>
                  <w:shd w:val="clear" w:color="auto" w:fill="FFFFFF"/>
                  <w:hideMark/>
                </w:tcPr>
                <w:p w14:paraId="75B29379"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riscul unei variații a volatilității implicite a unui instrument cu opționalitate, în raport cu volatilitatea implicită a altor instrumente cu opționalitate care au același activ suport și aceeași scadență, dar o lichiditate diferită;</w:t>
                  </w:r>
                </w:p>
              </w:tc>
            </w:tr>
          </w:tbl>
          <w:p w14:paraId="00A9618A" w14:textId="77777777" w:rsidR="007A24CE" w:rsidRPr="007A24CE" w:rsidRDefault="007A24CE" w:rsidP="007A24CE">
            <w:pPr>
              <w:spacing w:line="276" w:lineRule="auto"/>
              <w:rPr>
                <w:rFonts w:ascii="Times New Roman" w:hAnsi="Times New Roman" w:cs="Times New Roman"/>
                <w:bCs/>
                <w:vanish/>
                <w:color w:val="000000" w:themeColor="text1"/>
                <w:lang w:val="ro-MD"/>
              </w:rPr>
            </w:pPr>
          </w:p>
          <w:tbl>
            <w:tblPr>
              <w:tblW w:w="4962" w:type="dxa"/>
              <w:tblInd w:w="44" w:type="dxa"/>
              <w:shd w:val="clear" w:color="auto" w:fill="FFFFFF"/>
              <w:tblLayout w:type="fixed"/>
              <w:tblCellMar>
                <w:left w:w="0" w:type="dxa"/>
                <w:right w:w="0" w:type="dxa"/>
              </w:tblCellMar>
              <w:tblLook w:val="04A0" w:firstRow="1" w:lastRow="0" w:firstColumn="1" w:lastColumn="0" w:noHBand="0" w:noVBand="1"/>
            </w:tblPr>
            <w:tblGrid>
              <w:gridCol w:w="426"/>
              <w:gridCol w:w="4536"/>
            </w:tblGrid>
            <w:tr w:rsidR="007A24CE" w:rsidRPr="006B4510" w14:paraId="5DB69895" w14:textId="77777777" w:rsidTr="007A24CE">
              <w:tc>
                <w:tcPr>
                  <w:tcW w:w="426" w:type="dxa"/>
                  <w:shd w:val="clear" w:color="auto" w:fill="FFFFFF"/>
                  <w:hideMark/>
                </w:tcPr>
                <w:p w14:paraId="7D0FA5B9"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(c)</w:t>
                  </w:r>
                </w:p>
              </w:tc>
              <w:tc>
                <w:tcPr>
                  <w:tcW w:w="4536" w:type="dxa"/>
                  <w:shd w:val="clear" w:color="auto" w:fill="FFFFFF"/>
                  <w:hideMark/>
                </w:tcPr>
                <w:p w14:paraId="5C55AC0F"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riscul de corelație care decurge dintr-o opțiune pe indici, în cazul în care indicele îndeplinește condițiile prevăzute la articolul 325i alineatul (3) din Regulamentul (UE) nr. 575/2013;</w:t>
                  </w:r>
                </w:p>
              </w:tc>
            </w:tr>
          </w:tbl>
          <w:p w14:paraId="410883DD" w14:textId="77777777" w:rsidR="007A24CE" w:rsidRPr="007A24CE" w:rsidRDefault="007A24CE" w:rsidP="007A24CE">
            <w:pPr>
              <w:spacing w:line="276" w:lineRule="auto"/>
              <w:rPr>
                <w:rFonts w:ascii="Times New Roman" w:hAnsi="Times New Roman" w:cs="Times New Roman"/>
                <w:bCs/>
                <w:vanish/>
                <w:color w:val="000000" w:themeColor="text1"/>
                <w:lang w:val="ro-MD"/>
              </w:rPr>
            </w:pPr>
          </w:p>
          <w:tbl>
            <w:tblPr>
              <w:tblW w:w="4865" w:type="dxa"/>
              <w:shd w:val="clear" w:color="auto" w:fill="FFFFFF"/>
              <w:tblLayout w:type="fixed"/>
              <w:tblCellMar>
                <w:left w:w="0" w:type="dxa"/>
                <w:right w:w="0" w:type="dxa"/>
              </w:tblCellMar>
              <w:tblLook w:val="04A0" w:firstRow="1" w:lastRow="0" w:firstColumn="1" w:lastColumn="0" w:noHBand="0" w:noVBand="1"/>
            </w:tblPr>
            <w:tblGrid>
              <w:gridCol w:w="470"/>
              <w:gridCol w:w="4395"/>
            </w:tblGrid>
            <w:tr w:rsidR="007A24CE" w:rsidRPr="006B4510" w14:paraId="7A59FA58" w14:textId="77777777" w:rsidTr="00C8691F">
              <w:tc>
                <w:tcPr>
                  <w:tcW w:w="470" w:type="dxa"/>
                  <w:shd w:val="clear" w:color="auto" w:fill="FFFFFF"/>
                  <w:hideMark/>
                </w:tcPr>
                <w:p w14:paraId="7EB79929"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lastRenderedPageBreak/>
                    <w:t>(d)</w:t>
                  </w:r>
                </w:p>
              </w:tc>
              <w:tc>
                <w:tcPr>
                  <w:tcW w:w="4395" w:type="dxa"/>
                  <w:shd w:val="clear" w:color="auto" w:fill="FFFFFF"/>
                  <w:hideMark/>
                </w:tcPr>
                <w:p w14:paraId="647BBEF7"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riscul de corelație care decurge dintr-o opțiune într-un organism de plasament colectiv care se raportează la un indice de referință, în cazul în care această raportare îndeplinește condițiile prevăzute la articolul 325j alineatul (2) din Regulamentul (UE) nr. 575/2013, iar indicele îndeplinește condițiile prevăzute la articolul 325i alineatul (3) din regulamentul respectiv;</w:t>
                  </w:r>
                </w:p>
              </w:tc>
            </w:tr>
          </w:tbl>
          <w:p w14:paraId="68E60265" w14:textId="77777777" w:rsidR="007A24CE" w:rsidRPr="007A24CE" w:rsidRDefault="007A24CE" w:rsidP="007A24CE">
            <w:pPr>
              <w:spacing w:line="276" w:lineRule="auto"/>
              <w:rPr>
                <w:rFonts w:ascii="Times New Roman" w:hAnsi="Times New Roman" w:cs="Times New Roman"/>
                <w:bCs/>
                <w:vanish/>
                <w:color w:val="000000" w:themeColor="text1"/>
                <w:lang w:val="ro-MD"/>
              </w:rPr>
            </w:pPr>
          </w:p>
          <w:tbl>
            <w:tblPr>
              <w:tblW w:w="4865" w:type="dxa"/>
              <w:shd w:val="clear" w:color="auto" w:fill="FFFFFF"/>
              <w:tblLayout w:type="fixed"/>
              <w:tblCellMar>
                <w:left w:w="0" w:type="dxa"/>
                <w:right w:w="0" w:type="dxa"/>
              </w:tblCellMar>
              <w:tblLook w:val="04A0" w:firstRow="1" w:lastRow="0" w:firstColumn="1" w:lastColumn="0" w:noHBand="0" w:noVBand="1"/>
            </w:tblPr>
            <w:tblGrid>
              <w:gridCol w:w="470"/>
              <w:gridCol w:w="4395"/>
            </w:tblGrid>
            <w:tr w:rsidR="007A24CE" w:rsidRPr="007A24CE" w14:paraId="55136AD9" w14:textId="77777777" w:rsidTr="00C8691F">
              <w:tc>
                <w:tcPr>
                  <w:tcW w:w="470" w:type="dxa"/>
                  <w:shd w:val="clear" w:color="auto" w:fill="FFFFFF"/>
                  <w:hideMark/>
                </w:tcPr>
                <w:p w14:paraId="5AF6C36B"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(e)</w:t>
                  </w:r>
                </w:p>
              </w:tc>
              <w:tc>
                <w:tcPr>
                  <w:tcW w:w="4395" w:type="dxa"/>
                  <w:shd w:val="clear" w:color="auto" w:fill="FFFFFF"/>
                  <w:hideMark/>
                </w:tcPr>
                <w:p w14:paraId="47B3BAD5" w14:textId="77777777" w:rsidR="007A24CE" w:rsidRPr="007A24CE" w:rsidRDefault="007A24CE" w:rsidP="007A24CE">
                  <w:pPr>
                    <w:spacing w:line="276" w:lineRule="auto"/>
                    <w:rPr>
                      <w:rFonts w:ascii="Times New Roman" w:hAnsi="Times New Roman" w:cs="Times New Roman"/>
                      <w:bCs/>
                      <w:color w:val="000000" w:themeColor="text1"/>
                      <w:lang w:val="ro-MD"/>
                    </w:rPr>
                  </w:pPr>
                  <w:r w:rsidRPr="007A24CE">
                    <w:rPr>
                      <w:rFonts w:ascii="Times New Roman" w:hAnsi="Times New Roman" w:cs="Times New Roman"/>
                      <w:bCs/>
                      <w:color w:val="000000" w:themeColor="text1"/>
                      <w:lang w:val="ro-MD"/>
                    </w:rPr>
                    <w:t>riscul de dividende care decurge dintr-un instrument derivat al cărui suport nu constă exclusiv în plăți de dividende.</w:t>
                  </w:r>
                </w:p>
              </w:tc>
            </w:tr>
          </w:tbl>
          <w:p w14:paraId="1AD00A79" w14:textId="77777777" w:rsidR="007A24CE" w:rsidRPr="007A24CE" w:rsidRDefault="007A24CE" w:rsidP="003228C3">
            <w:pPr>
              <w:spacing w:line="276" w:lineRule="auto"/>
              <w:rPr>
                <w:rFonts w:ascii="Times New Roman" w:hAnsi="Times New Roman" w:cs="Times New Roman"/>
                <w:bCs/>
                <w:color w:val="000000" w:themeColor="text1"/>
                <w:lang w:val="ro-MD"/>
              </w:rPr>
            </w:pPr>
          </w:p>
        </w:tc>
        <w:tc>
          <w:tcPr>
            <w:tcW w:w="1557" w:type="pct"/>
          </w:tcPr>
          <w:p w14:paraId="69F6F7EF" w14:textId="50879638" w:rsidR="001103DB" w:rsidRPr="001103DB" w:rsidRDefault="00D35FF8" w:rsidP="001103DB">
            <w:pPr>
              <w:spacing w:line="276" w:lineRule="auto"/>
              <w:rPr>
                <w:rFonts w:ascii="Times New Roman" w:hAnsi="Times New Roman" w:cs="Times New Roman"/>
                <w:bCs/>
                <w:color w:val="000000" w:themeColor="text1"/>
                <w:lang w:val="ro-MD"/>
              </w:rPr>
            </w:pPr>
            <w:bookmarkStart w:id="9" w:name="_Hlk223620967"/>
            <w:r>
              <w:rPr>
                <w:rFonts w:ascii="Times New Roman" w:hAnsi="Times New Roman" w:cs="Times New Roman"/>
                <w:bCs/>
                <w:color w:val="000000" w:themeColor="text1"/>
                <w:lang w:val="ro-MD"/>
              </w:rPr>
              <w:lastRenderedPageBreak/>
              <w:t xml:space="preserve">3. </w:t>
            </w:r>
            <w:r w:rsidR="001103DB" w:rsidRPr="001103DB">
              <w:rPr>
                <w:rFonts w:ascii="Times New Roman" w:hAnsi="Times New Roman" w:cs="Times New Roman"/>
                <w:bCs/>
                <w:color w:val="000000" w:themeColor="text1"/>
                <w:lang w:val="ro-MD"/>
              </w:rPr>
              <w:t xml:space="preserve">Se consideră că un instrument nu îndeplinește condițiile prevăzute la </w:t>
            </w:r>
            <w:r>
              <w:rPr>
                <w:rFonts w:ascii="Times New Roman" w:hAnsi="Times New Roman" w:cs="Times New Roman"/>
                <w:bCs/>
                <w:color w:val="000000" w:themeColor="text1"/>
                <w:lang w:val="ro-MD"/>
              </w:rPr>
              <w:t>subpct.219.2.1 și 219.2.2</w:t>
            </w:r>
            <w:r w:rsidR="001103DB" w:rsidRPr="001103DB">
              <w:rPr>
                <w:rFonts w:ascii="Times New Roman" w:hAnsi="Times New Roman" w:cs="Times New Roman"/>
                <w:bCs/>
                <w:color w:val="000000" w:themeColor="text1"/>
                <w:lang w:val="ro-MD"/>
              </w:rPr>
              <w:t xml:space="preserve"> </w:t>
            </w:r>
            <w:r w:rsidRPr="00D35FF8">
              <w:rPr>
                <w:rFonts w:ascii="Times New Roman" w:hAnsi="Times New Roman" w:cs="Times New Roman"/>
                <w:bCs/>
                <w:color w:val="000000" w:themeColor="text1"/>
                <w:lang w:val="ro-MD"/>
              </w:rPr>
              <w:t xml:space="preserve">din Regulamentul privind cerințe de fonduri proprii pentru riscul de piață </w:t>
            </w:r>
            <w:r w:rsidR="001103DB" w:rsidRPr="001103DB">
              <w:rPr>
                <w:rFonts w:ascii="Times New Roman" w:hAnsi="Times New Roman" w:cs="Times New Roman"/>
                <w:bCs/>
                <w:color w:val="000000" w:themeColor="text1"/>
                <w:lang w:val="ro-MD"/>
              </w:rPr>
              <w:t>numai prin faptul că prezintă unul sau mai multe dintre următoarele riscuri:</w:t>
            </w:r>
          </w:p>
          <w:p w14:paraId="4292740D" w14:textId="7C9AD0EF" w:rsidR="001103DB" w:rsidRPr="001103DB" w:rsidRDefault="00D35FF8" w:rsidP="001103D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3.1.</w:t>
            </w:r>
            <w:r w:rsidR="001103DB" w:rsidRPr="001103DB">
              <w:rPr>
                <w:rFonts w:ascii="Times New Roman" w:hAnsi="Times New Roman" w:cs="Times New Roman"/>
                <w:bCs/>
                <w:color w:val="000000" w:themeColor="text1"/>
                <w:lang w:val="ro-MD"/>
              </w:rPr>
              <w:tab/>
              <w:t xml:space="preserve">riscul care decurge din tranzacții în care obligația de livrare poate fi îndeplinită cu o gamă de instrumente livrabile și în care </w:t>
            </w:r>
            <w:proofErr w:type="spellStart"/>
            <w:r w:rsidR="001103DB" w:rsidRPr="001103DB">
              <w:rPr>
                <w:rFonts w:ascii="Times New Roman" w:hAnsi="Times New Roman" w:cs="Times New Roman"/>
                <w:bCs/>
                <w:color w:val="000000" w:themeColor="text1"/>
                <w:lang w:val="ro-MD"/>
              </w:rPr>
              <w:t>contrapartea</w:t>
            </w:r>
            <w:proofErr w:type="spellEnd"/>
            <w:r w:rsidR="001103DB" w:rsidRPr="001103DB">
              <w:rPr>
                <w:rFonts w:ascii="Times New Roman" w:hAnsi="Times New Roman" w:cs="Times New Roman"/>
                <w:bCs/>
                <w:color w:val="000000" w:themeColor="text1"/>
                <w:lang w:val="ro-MD"/>
              </w:rPr>
              <w:t xml:space="preserve"> are posibilitatea de a livra instrumentele de acest tip cu cea mai mică valoare;</w:t>
            </w:r>
          </w:p>
          <w:p w14:paraId="077AE39A" w14:textId="5A4E64EC" w:rsidR="001103DB" w:rsidRPr="001103DB" w:rsidRDefault="00D35FF8" w:rsidP="001103D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3.2.</w:t>
            </w:r>
            <w:r w:rsidR="001103DB" w:rsidRPr="001103DB">
              <w:rPr>
                <w:rFonts w:ascii="Times New Roman" w:hAnsi="Times New Roman" w:cs="Times New Roman"/>
                <w:bCs/>
                <w:color w:val="000000" w:themeColor="text1"/>
                <w:lang w:val="ro-MD"/>
              </w:rPr>
              <w:tab/>
              <w:t>riscul unei variații a volatilității implicite a unui instrument cu opționalitate, în raport cu volatilitatea implicită a altor instrumente cu opționalitate care au același activ suport și aceeași scadență, dar o lichiditate diferită;</w:t>
            </w:r>
          </w:p>
          <w:p w14:paraId="107A4C5C" w14:textId="088A488F" w:rsidR="001103DB" w:rsidRPr="001103DB" w:rsidRDefault="00D35FF8" w:rsidP="001103D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3.3.</w:t>
            </w:r>
            <w:r w:rsidR="001103DB" w:rsidRPr="001103DB">
              <w:rPr>
                <w:rFonts w:ascii="Times New Roman" w:hAnsi="Times New Roman" w:cs="Times New Roman"/>
                <w:bCs/>
                <w:color w:val="000000" w:themeColor="text1"/>
                <w:lang w:val="ro-MD"/>
              </w:rPr>
              <w:tab/>
              <w:t xml:space="preserve">riscul de corelație care decurge dintr-o opțiune pe indici, în cazul în care indicele îndeplinește condițiile prevăzute la </w:t>
            </w:r>
            <w:r>
              <w:rPr>
                <w:rFonts w:ascii="Times New Roman" w:hAnsi="Times New Roman" w:cs="Times New Roman"/>
                <w:bCs/>
                <w:color w:val="000000" w:themeColor="text1"/>
                <w:lang w:val="ro-MD"/>
              </w:rPr>
              <w:t xml:space="preserve">pct.135 </w:t>
            </w:r>
            <w:r w:rsidRPr="00D35FF8">
              <w:rPr>
                <w:rFonts w:ascii="Times New Roman" w:hAnsi="Times New Roman" w:cs="Times New Roman"/>
                <w:bCs/>
                <w:color w:val="000000" w:themeColor="text1"/>
                <w:lang w:val="ro-MD"/>
              </w:rPr>
              <w:t xml:space="preserve">din </w:t>
            </w:r>
            <w:r w:rsidRPr="00D35FF8">
              <w:rPr>
                <w:rFonts w:ascii="Times New Roman" w:hAnsi="Times New Roman" w:cs="Times New Roman"/>
                <w:bCs/>
                <w:color w:val="000000" w:themeColor="text1"/>
                <w:lang w:val="ro-MD"/>
              </w:rPr>
              <w:lastRenderedPageBreak/>
              <w:t>Regulamentul privind cerințe de fonduri proprii pentru riscul de piață</w:t>
            </w:r>
            <w:r w:rsidR="001103DB" w:rsidRPr="001103DB">
              <w:rPr>
                <w:rFonts w:ascii="Times New Roman" w:hAnsi="Times New Roman" w:cs="Times New Roman"/>
                <w:bCs/>
                <w:color w:val="000000" w:themeColor="text1"/>
                <w:lang w:val="ro-MD"/>
              </w:rPr>
              <w:t>;</w:t>
            </w:r>
          </w:p>
          <w:p w14:paraId="3ED02EDA" w14:textId="7C555AFC" w:rsidR="001103DB" w:rsidRPr="001103DB" w:rsidRDefault="00D35FF8" w:rsidP="001103D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3.4.</w:t>
            </w:r>
            <w:r w:rsidR="001103DB" w:rsidRPr="001103DB">
              <w:rPr>
                <w:rFonts w:ascii="Times New Roman" w:hAnsi="Times New Roman" w:cs="Times New Roman"/>
                <w:bCs/>
                <w:color w:val="000000" w:themeColor="text1"/>
                <w:lang w:val="ro-MD"/>
              </w:rPr>
              <w:tab/>
              <w:t xml:space="preserve">riscul de corelație care decurge dintr-o opțiune într-un organism de plasament colectiv care se raportează la un indice de referință, în cazul în care această raportare îndeplinește condițiile prevăzute la </w:t>
            </w:r>
            <w:r>
              <w:rPr>
                <w:rFonts w:ascii="Times New Roman" w:hAnsi="Times New Roman" w:cs="Times New Roman"/>
                <w:bCs/>
                <w:color w:val="000000" w:themeColor="text1"/>
                <w:lang w:val="ro-MD"/>
              </w:rPr>
              <w:t>pct.142</w:t>
            </w:r>
            <w:r w:rsidRPr="007A3265">
              <w:rPr>
                <w:lang w:val="ro-MD"/>
              </w:rPr>
              <w:t xml:space="preserve"> </w:t>
            </w:r>
            <w:r w:rsidRPr="00D35FF8">
              <w:rPr>
                <w:rFonts w:ascii="Times New Roman" w:hAnsi="Times New Roman" w:cs="Times New Roman"/>
                <w:bCs/>
                <w:color w:val="000000" w:themeColor="text1"/>
                <w:lang w:val="ro-MD"/>
              </w:rPr>
              <w:t>din Regulamentul privind cerințe de fonduri proprii pentru riscul de piață</w:t>
            </w:r>
            <w:r w:rsidR="001103DB" w:rsidRPr="001103DB">
              <w:rPr>
                <w:rFonts w:ascii="Times New Roman" w:hAnsi="Times New Roman" w:cs="Times New Roman"/>
                <w:bCs/>
                <w:color w:val="000000" w:themeColor="text1"/>
                <w:lang w:val="ro-MD"/>
              </w:rPr>
              <w:t xml:space="preserve">, iar indicele îndeplinește condițiile prevăzute la </w:t>
            </w:r>
            <w:r w:rsidRPr="00D35FF8">
              <w:rPr>
                <w:rFonts w:ascii="Times New Roman" w:hAnsi="Times New Roman" w:cs="Times New Roman"/>
                <w:bCs/>
                <w:color w:val="000000" w:themeColor="text1"/>
                <w:lang w:val="ro-MD"/>
              </w:rPr>
              <w:t xml:space="preserve">pct.135 </w:t>
            </w:r>
            <w:r w:rsidR="001103DB" w:rsidRPr="001103DB">
              <w:rPr>
                <w:rFonts w:ascii="Times New Roman" w:hAnsi="Times New Roman" w:cs="Times New Roman"/>
                <w:bCs/>
                <w:color w:val="000000" w:themeColor="text1"/>
                <w:lang w:val="ro-MD"/>
              </w:rPr>
              <w:t>din regulamentul respectiv;</w:t>
            </w:r>
          </w:p>
          <w:p w14:paraId="3A2E732A" w14:textId="71907CDD" w:rsidR="007A24CE" w:rsidRPr="007A24CE" w:rsidRDefault="00D35FF8" w:rsidP="00A5061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3.5.</w:t>
            </w:r>
            <w:r w:rsidR="001103DB" w:rsidRPr="001103DB">
              <w:rPr>
                <w:rFonts w:ascii="Times New Roman" w:hAnsi="Times New Roman" w:cs="Times New Roman"/>
                <w:bCs/>
                <w:color w:val="000000" w:themeColor="text1"/>
                <w:lang w:val="ro-MD"/>
              </w:rPr>
              <w:tab/>
              <w:t>riscul de dividende care decurge dintr-un instrument derivat al cărui suport nu constă exclusiv în plăți de dividende.</w:t>
            </w:r>
            <w:bookmarkEnd w:id="9"/>
          </w:p>
        </w:tc>
        <w:tc>
          <w:tcPr>
            <w:tcW w:w="585" w:type="pct"/>
          </w:tcPr>
          <w:p w14:paraId="2304D65F" w14:textId="3034B0E7" w:rsidR="007A24CE" w:rsidRPr="000942FB" w:rsidRDefault="009B7460" w:rsidP="003228C3">
            <w:pPr>
              <w:spacing w:line="276" w:lineRule="auto"/>
              <w:rPr>
                <w:rFonts w:ascii="Times New Roman" w:hAnsi="Times New Roman" w:cs="Times New Roman"/>
                <w:bCs/>
                <w:color w:val="000000" w:themeColor="text1"/>
                <w:lang w:val="ro-MD"/>
              </w:rPr>
            </w:pPr>
            <w:r w:rsidRPr="009B7460">
              <w:rPr>
                <w:rFonts w:ascii="Times New Roman" w:hAnsi="Times New Roman" w:cs="Times New Roman"/>
                <w:bCs/>
                <w:color w:val="000000" w:themeColor="text1"/>
                <w:lang w:val="ro-MD"/>
              </w:rPr>
              <w:lastRenderedPageBreak/>
              <w:t>compatibil</w:t>
            </w:r>
          </w:p>
        </w:tc>
        <w:tc>
          <w:tcPr>
            <w:tcW w:w="1261" w:type="pct"/>
          </w:tcPr>
          <w:p w14:paraId="0BA0B243"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7A24CE" w14:paraId="0A589FF6"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1411BC1" w14:textId="77777777" w:rsidR="00C8691F" w:rsidRPr="00C8691F" w:rsidRDefault="00C8691F" w:rsidP="00C8691F">
            <w:pPr>
              <w:spacing w:line="276" w:lineRule="auto"/>
              <w:rPr>
                <w:rFonts w:ascii="Times New Roman" w:hAnsi="Times New Roman" w:cs="Times New Roman"/>
                <w:bCs/>
                <w:i/>
                <w:iCs/>
                <w:color w:val="000000" w:themeColor="text1"/>
                <w:lang w:val="ro-MD"/>
              </w:rPr>
            </w:pPr>
            <w:r w:rsidRPr="00C8691F">
              <w:rPr>
                <w:rFonts w:ascii="Times New Roman" w:hAnsi="Times New Roman" w:cs="Times New Roman"/>
                <w:bCs/>
                <w:i/>
                <w:iCs/>
                <w:color w:val="000000" w:themeColor="text1"/>
                <w:lang w:val="ro-MD"/>
              </w:rPr>
              <w:t>Articolul 4</w:t>
            </w:r>
          </w:p>
          <w:p w14:paraId="43F15EC2" w14:textId="5CC92DAC" w:rsidR="007A24CE" w:rsidRPr="007A24CE"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
                <w:bCs/>
                <w:color w:val="000000" w:themeColor="text1"/>
                <w:lang w:val="ro-MD"/>
              </w:rPr>
              <w:t>Intrarea în vigoare</w:t>
            </w:r>
          </w:p>
        </w:tc>
        <w:tc>
          <w:tcPr>
            <w:tcW w:w="1557" w:type="pct"/>
          </w:tcPr>
          <w:p w14:paraId="1DCD06C7" w14:textId="2D96CC0E" w:rsidR="007A24CE" w:rsidRPr="007A24CE" w:rsidRDefault="007A24CE" w:rsidP="00A5061B">
            <w:pPr>
              <w:spacing w:line="276" w:lineRule="auto"/>
              <w:rPr>
                <w:rFonts w:ascii="Times New Roman" w:hAnsi="Times New Roman" w:cs="Times New Roman"/>
                <w:bCs/>
                <w:color w:val="000000" w:themeColor="text1"/>
                <w:lang w:val="ro-MD"/>
              </w:rPr>
            </w:pPr>
          </w:p>
        </w:tc>
        <w:tc>
          <w:tcPr>
            <w:tcW w:w="585" w:type="pct"/>
          </w:tcPr>
          <w:p w14:paraId="5D89D303" w14:textId="77777777" w:rsidR="007A24CE" w:rsidRPr="000942FB" w:rsidRDefault="007A24CE" w:rsidP="003228C3">
            <w:pPr>
              <w:spacing w:line="276" w:lineRule="auto"/>
              <w:rPr>
                <w:rFonts w:ascii="Times New Roman" w:hAnsi="Times New Roman" w:cs="Times New Roman"/>
                <w:bCs/>
                <w:color w:val="000000" w:themeColor="text1"/>
                <w:lang w:val="ro-MD"/>
              </w:rPr>
            </w:pPr>
          </w:p>
        </w:tc>
        <w:tc>
          <w:tcPr>
            <w:tcW w:w="1261" w:type="pct"/>
          </w:tcPr>
          <w:p w14:paraId="0B710850"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7A24CE" w14:paraId="6363B311"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8BE6480" w14:textId="61D5855F" w:rsidR="007A24CE" w:rsidRPr="00C8691F" w:rsidRDefault="00C8691F" w:rsidP="003228C3">
            <w:pPr>
              <w:spacing w:line="276" w:lineRule="auto"/>
              <w:rPr>
                <w:rFonts w:ascii="Times New Roman" w:hAnsi="Times New Roman" w:cs="Times New Roman"/>
                <w:bCs/>
                <w:color w:val="000000" w:themeColor="text1"/>
                <w:lang w:val="it-IT"/>
              </w:rPr>
            </w:pPr>
            <w:r w:rsidRPr="00C8691F">
              <w:rPr>
                <w:rFonts w:ascii="Times New Roman" w:hAnsi="Times New Roman" w:cs="Times New Roman"/>
                <w:bCs/>
                <w:color w:val="000000" w:themeColor="text1"/>
                <w:lang w:val="it-IT"/>
              </w:rPr>
              <w:t>Prezentul regulament intră în vigoare în a douăzecea zi de la data publicării în </w:t>
            </w:r>
            <w:r w:rsidRPr="00C8691F">
              <w:rPr>
                <w:rFonts w:ascii="Times New Roman" w:hAnsi="Times New Roman" w:cs="Times New Roman"/>
                <w:bCs/>
                <w:i/>
                <w:iCs/>
                <w:color w:val="000000" w:themeColor="text1"/>
                <w:lang w:val="it-IT"/>
              </w:rPr>
              <w:t>Jurnalul Oficial al Uniunii Europene</w:t>
            </w:r>
            <w:r w:rsidRPr="00C8691F">
              <w:rPr>
                <w:rFonts w:ascii="Times New Roman" w:hAnsi="Times New Roman" w:cs="Times New Roman"/>
                <w:bCs/>
                <w:color w:val="000000" w:themeColor="text1"/>
                <w:lang w:val="it-IT"/>
              </w:rPr>
              <w:t>.</w:t>
            </w:r>
          </w:p>
        </w:tc>
        <w:tc>
          <w:tcPr>
            <w:tcW w:w="1557" w:type="pct"/>
          </w:tcPr>
          <w:p w14:paraId="7B225D03" w14:textId="4D92CACF" w:rsidR="007A24CE" w:rsidRPr="007A24CE" w:rsidRDefault="007A24CE" w:rsidP="003228C3">
            <w:pPr>
              <w:spacing w:line="276" w:lineRule="auto"/>
              <w:rPr>
                <w:rFonts w:ascii="Times New Roman" w:hAnsi="Times New Roman" w:cs="Times New Roman"/>
                <w:bCs/>
                <w:color w:val="000000" w:themeColor="text1"/>
                <w:lang w:val="ro-MD"/>
              </w:rPr>
            </w:pPr>
          </w:p>
        </w:tc>
        <w:tc>
          <w:tcPr>
            <w:tcW w:w="585" w:type="pct"/>
          </w:tcPr>
          <w:p w14:paraId="7057261C" w14:textId="371661E1" w:rsidR="007A24CE" w:rsidRPr="000942FB" w:rsidRDefault="006F7E6D" w:rsidP="003228C3">
            <w:pPr>
              <w:spacing w:line="276" w:lineRule="auto"/>
              <w:rPr>
                <w:rFonts w:ascii="Times New Roman" w:hAnsi="Times New Roman" w:cs="Times New Roman"/>
                <w:bCs/>
                <w:color w:val="000000" w:themeColor="text1"/>
                <w:lang w:val="ro-MD"/>
              </w:rPr>
            </w:pPr>
            <w:r w:rsidRPr="006F7E6D">
              <w:rPr>
                <w:rFonts w:ascii="Times New Roman" w:hAnsi="Times New Roman" w:cs="Times New Roman"/>
                <w:bCs/>
                <w:color w:val="000000" w:themeColor="text1"/>
                <w:lang w:val="ro-MD"/>
              </w:rPr>
              <w:t>prevederi UE neaplicabile</w:t>
            </w:r>
          </w:p>
        </w:tc>
        <w:tc>
          <w:tcPr>
            <w:tcW w:w="1261" w:type="pct"/>
          </w:tcPr>
          <w:p w14:paraId="5A5E0146"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6B4510" w14:paraId="15D920F3"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F55521E" w14:textId="77777777" w:rsidR="00C8691F" w:rsidRPr="00C8691F" w:rsidRDefault="00C8691F" w:rsidP="00C8691F">
            <w:pPr>
              <w:spacing w:line="276" w:lineRule="auto"/>
              <w:rPr>
                <w:rFonts w:ascii="Times New Roman" w:hAnsi="Times New Roman" w:cs="Times New Roman"/>
                <w:b/>
                <w:bCs/>
                <w:color w:val="000000" w:themeColor="text1"/>
                <w:lang w:val="ro-MD"/>
              </w:rPr>
            </w:pPr>
            <w:r w:rsidRPr="00C8691F">
              <w:rPr>
                <w:rFonts w:ascii="Times New Roman" w:hAnsi="Times New Roman" w:cs="Times New Roman"/>
                <w:b/>
                <w:bCs/>
                <w:color w:val="000000" w:themeColor="text1"/>
                <w:lang w:val="ro-MD"/>
              </w:rPr>
              <w:t>ANEXĂ</w:t>
            </w:r>
          </w:p>
          <w:p w14:paraId="2203AE8D" w14:textId="4BFC939A" w:rsidR="007A24CE" w:rsidRPr="007A24CE"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
                <w:bCs/>
                <w:color w:val="000000" w:themeColor="text1"/>
                <w:lang w:val="ro-MD"/>
              </w:rPr>
              <w:t>Lista instrumentelor care prezintă riscuri reziduale menționate la articolul 2</w:t>
            </w:r>
          </w:p>
        </w:tc>
        <w:tc>
          <w:tcPr>
            <w:tcW w:w="1557" w:type="pct"/>
          </w:tcPr>
          <w:p w14:paraId="453E19D4" w14:textId="137B33DB" w:rsidR="00A5061B" w:rsidRPr="00987FB4" w:rsidRDefault="001C3C1C" w:rsidP="00A5061B">
            <w:pPr>
              <w:spacing w:line="276" w:lineRule="auto"/>
              <w:rPr>
                <w:rFonts w:ascii="Times New Roman" w:hAnsi="Times New Roman" w:cs="Times New Roman"/>
                <w:b/>
                <w:bCs/>
                <w:i/>
                <w:iCs/>
                <w:color w:val="000000" w:themeColor="text1"/>
                <w:lang w:val="ro-MD"/>
              </w:rPr>
            </w:pPr>
            <w:bookmarkStart w:id="10" w:name="_Hlk223621009"/>
            <w:r w:rsidRPr="00987FB4">
              <w:rPr>
                <w:rFonts w:ascii="Times New Roman" w:hAnsi="Times New Roman" w:cs="Times New Roman"/>
                <w:b/>
                <w:bCs/>
                <w:i/>
                <w:iCs/>
                <w:color w:val="000000" w:themeColor="text1"/>
                <w:lang w:val="ro-MD"/>
              </w:rPr>
              <w:t xml:space="preserve">Tabel </w:t>
            </w:r>
          </w:p>
          <w:p w14:paraId="024C16D7" w14:textId="47153601" w:rsidR="007A24CE" w:rsidRPr="007A24CE" w:rsidRDefault="00A5061B" w:rsidP="00A5061B">
            <w:pPr>
              <w:spacing w:line="276" w:lineRule="auto"/>
              <w:rPr>
                <w:rFonts w:ascii="Times New Roman" w:hAnsi="Times New Roman" w:cs="Times New Roman"/>
                <w:bCs/>
                <w:color w:val="000000" w:themeColor="text1"/>
                <w:lang w:val="ro-MD"/>
              </w:rPr>
            </w:pPr>
            <w:r w:rsidRPr="00987FB4">
              <w:rPr>
                <w:rFonts w:ascii="Times New Roman" w:hAnsi="Times New Roman" w:cs="Times New Roman"/>
                <w:b/>
                <w:bCs/>
                <w:i/>
                <w:iCs/>
                <w:color w:val="000000" w:themeColor="text1"/>
                <w:lang w:val="ro-MD"/>
              </w:rPr>
              <w:t xml:space="preserve">Lista instrumentelor care prezintă riscuri reziduale menționate la </w:t>
            </w:r>
            <w:r w:rsidR="00987FB4">
              <w:rPr>
                <w:rFonts w:ascii="Times New Roman" w:hAnsi="Times New Roman" w:cs="Times New Roman"/>
                <w:b/>
                <w:bCs/>
                <w:i/>
                <w:iCs/>
                <w:color w:val="000000" w:themeColor="text1"/>
                <w:lang w:val="ro-MD"/>
              </w:rPr>
              <w:t>pct.</w:t>
            </w:r>
            <w:r w:rsidRPr="00987FB4">
              <w:rPr>
                <w:rFonts w:ascii="Times New Roman" w:hAnsi="Times New Roman" w:cs="Times New Roman"/>
                <w:b/>
                <w:bCs/>
                <w:i/>
                <w:iCs/>
                <w:color w:val="000000" w:themeColor="text1"/>
                <w:lang w:val="ro-MD"/>
              </w:rPr>
              <w:t>2</w:t>
            </w:r>
            <w:bookmarkEnd w:id="10"/>
          </w:p>
        </w:tc>
        <w:tc>
          <w:tcPr>
            <w:tcW w:w="585" w:type="pct"/>
          </w:tcPr>
          <w:p w14:paraId="3C14F1C0" w14:textId="77777777" w:rsidR="007A24CE" w:rsidRPr="000942FB" w:rsidRDefault="007A24CE" w:rsidP="003228C3">
            <w:pPr>
              <w:spacing w:line="276" w:lineRule="auto"/>
              <w:rPr>
                <w:rFonts w:ascii="Times New Roman" w:hAnsi="Times New Roman" w:cs="Times New Roman"/>
                <w:bCs/>
                <w:color w:val="000000" w:themeColor="text1"/>
                <w:lang w:val="ro-MD"/>
              </w:rPr>
            </w:pPr>
          </w:p>
        </w:tc>
        <w:tc>
          <w:tcPr>
            <w:tcW w:w="1261" w:type="pct"/>
          </w:tcPr>
          <w:p w14:paraId="0A8B1CB6" w14:textId="77777777" w:rsidR="007A24CE" w:rsidRPr="000942FB" w:rsidRDefault="007A24CE" w:rsidP="003228C3">
            <w:pPr>
              <w:spacing w:line="276" w:lineRule="auto"/>
              <w:rPr>
                <w:rFonts w:ascii="Times New Roman" w:hAnsi="Times New Roman" w:cs="Times New Roman"/>
                <w:bCs/>
                <w:color w:val="000000" w:themeColor="text1"/>
                <w:lang w:val="ro-MD"/>
              </w:rPr>
            </w:pPr>
          </w:p>
        </w:tc>
      </w:tr>
      <w:tr w:rsidR="007A24CE" w:rsidRPr="00C75FAE" w14:paraId="3FC46A6B"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DAE3AFB" w14:textId="77777777"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lastRenderedPageBreak/>
              <w:t>Instrumentele menționate la articolul 2 pot fi oricare dintre următoarele:</w:t>
            </w:r>
          </w:p>
          <w:p w14:paraId="4247EB9A" w14:textId="5A9D390D"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1.</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ale căror rezultate depind de traiectoria înregistrată de prețul activului-suport, și nu doar de prețul final al acestuia la data exercitării;</w:t>
            </w:r>
          </w:p>
          <w:p w14:paraId="69F9D6EA" w14:textId="77777777" w:rsid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2.</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care încep la o dată predefinită în viitor și al căror preț de exercitare nu este încă stabilit la momentul în care opțiunea se află în portofoliul de tranzacționare al instituției;</w:t>
            </w:r>
          </w:p>
          <w:p w14:paraId="413F0491" w14:textId="4BEA2A52"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3.</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al căror suport este o altă opțiune;</w:t>
            </w:r>
          </w:p>
          <w:p w14:paraId="25811E83" w14:textId="46BCE872"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4.</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cu rezultate discontinue;</w:t>
            </w:r>
          </w:p>
          <w:p w14:paraId="6CF5AB14" w14:textId="112EFEF3"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5.</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care îi permit deținătorului să modifice prețul de exercitare sau alte condiții din contract înainte de scadența opțiunilor;</w:t>
            </w:r>
          </w:p>
          <w:p w14:paraId="72D58FDE" w14:textId="15A74604"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6.</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care pot fi exercitate într-un interval limitat de date prestabilite;</w:t>
            </w:r>
          </w:p>
          <w:p w14:paraId="30CED5DD" w14:textId="02977C1E"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7.</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ale căror elemente-suport sunt denominate într-o monedă, dar ale căror rezultate sunt decontate într-o monedă diferită, la un curs de schimb prestabilit între cele două monede;</w:t>
            </w:r>
          </w:p>
          <w:p w14:paraId="65307048" w14:textId="792A6E13"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lastRenderedPageBreak/>
              <w:t>8.</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cu mai multe elemente-suport, cu excepția celor menționate la articolul 3 literele (c) și (d);</w:t>
            </w:r>
          </w:p>
          <w:p w14:paraId="29D797B2" w14:textId="4D8878C8"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9.</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care prezintă risc comportamental, numai în cazul în care sunt îndeplinite toate condițiile următoare:</w:t>
            </w:r>
          </w:p>
          <w:p w14:paraId="21F8EFF4" w14:textId="66F2BB91"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(a)</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opțiunea este deținută de un client de retail;</w:t>
            </w:r>
          </w:p>
          <w:p w14:paraId="7C40DBF5" w14:textId="6E92BC68" w:rsidR="00C8691F" w:rsidRPr="00C8691F"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(b)</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opțiunile în cauză sunt deținute în mare parte în portofoliul de tranzacționare;</w:t>
            </w:r>
          </w:p>
          <w:p w14:paraId="2B8B2E87" w14:textId="6DEB6DFB" w:rsidR="007A24CE" w:rsidRPr="007A24CE" w:rsidRDefault="00C8691F" w:rsidP="00C8691F">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(c)</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instituția evaluează riscul comportamental al opțiunilor în cauză ca fiind semnificativ.</w:t>
            </w:r>
          </w:p>
        </w:tc>
        <w:tc>
          <w:tcPr>
            <w:tcW w:w="1557" w:type="pct"/>
          </w:tcPr>
          <w:p w14:paraId="04CBD986" w14:textId="08AC32F9"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lastRenderedPageBreak/>
              <w:t xml:space="preserve">Instrumentele menționate la </w:t>
            </w:r>
            <w:r w:rsidR="00D35FF8">
              <w:rPr>
                <w:rFonts w:ascii="Times New Roman" w:hAnsi="Times New Roman" w:cs="Times New Roman"/>
                <w:bCs/>
                <w:color w:val="000000" w:themeColor="text1"/>
                <w:lang w:val="ro-MD"/>
              </w:rPr>
              <w:t xml:space="preserve"> pct.2</w:t>
            </w:r>
            <w:r w:rsidRPr="00C8691F">
              <w:rPr>
                <w:rFonts w:ascii="Times New Roman" w:hAnsi="Times New Roman" w:cs="Times New Roman"/>
                <w:bCs/>
                <w:color w:val="000000" w:themeColor="text1"/>
                <w:lang w:val="ro-MD"/>
              </w:rPr>
              <w:t xml:space="preserve"> pot fi oricare dintre următoarele:</w:t>
            </w:r>
          </w:p>
          <w:p w14:paraId="1B64ACBE" w14:textId="77777777" w:rsidR="00A5061B" w:rsidRPr="00C8691F" w:rsidRDefault="00A5061B" w:rsidP="00A5061B">
            <w:pPr>
              <w:spacing w:line="276" w:lineRule="auto"/>
              <w:rPr>
                <w:rFonts w:ascii="Times New Roman" w:hAnsi="Times New Roman" w:cs="Times New Roman"/>
                <w:bCs/>
                <w:color w:val="000000" w:themeColor="text1"/>
                <w:lang w:val="ro-MD"/>
              </w:rPr>
            </w:pPr>
            <w:bookmarkStart w:id="11" w:name="_Hlk223621208"/>
            <w:r w:rsidRPr="00C8691F">
              <w:rPr>
                <w:rFonts w:ascii="Times New Roman" w:hAnsi="Times New Roman" w:cs="Times New Roman"/>
                <w:bCs/>
                <w:color w:val="000000" w:themeColor="text1"/>
                <w:lang w:val="ro-MD"/>
              </w:rPr>
              <w:t>1.</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ale căror rezultate depind de traiectoria înregistrată de prețul activului-suport, și nu doar de prețul final al acestuia la data exercitării;</w:t>
            </w:r>
          </w:p>
          <w:p w14:paraId="0043BE4F" w14:textId="512C2D2F" w:rsidR="00A5061B"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2.</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 xml:space="preserve">opțiuni care încep la o dată predefinită în viitor și al căror preț de exercitare nu este încă stabilit la momentul în care opțiunea se află în portofoliul de tranzacționare al </w:t>
            </w:r>
            <w:r w:rsidR="00D35FF8">
              <w:rPr>
                <w:rFonts w:ascii="Times New Roman" w:hAnsi="Times New Roman" w:cs="Times New Roman"/>
                <w:bCs/>
                <w:color w:val="000000" w:themeColor="text1"/>
                <w:lang w:val="ro-MD"/>
              </w:rPr>
              <w:t>băncii</w:t>
            </w:r>
            <w:r w:rsidRPr="00C8691F">
              <w:rPr>
                <w:rFonts w:ascii="Times New Roman" w:hAnsi="Times New Roman" w:cs="Times New Roman"/>
                <w:bCs/>
                <w:color w:val="000000" w:themeColor="text1"/>
                <w:lang w:val="ro-MD"/>
              </w:rPr>
              <w:t>;</w:t>
            </w:r>
          </w:p>
          <w:p w14:paraId="41E8828A" w14:textId="77777777"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3.</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al căror suport este o altă opțiune;</w:t>
            </w:r>
          </w:p>
          <w:p w14:paraId="0FE4B790" w14:textId="77777777"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4.</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cu rezultate discontinue;</w:t>
            </w:r>
          </w:p>
          <w:p w14:paraId="5462BF7E" w14:textId="77777777"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5.</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care îi permit deținătorului să modifice prețul de exercitare sau alte condiții din contract înainte de scadența opțiunilor;</w:t>
            </w:r>
          </w:p>
          <w:p w14:paraId="6B5916BE" w14:textId="77777777"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6.</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care pot fi exercitate într-un interval limitat de date prestabilite;</w:t>
            </w:r>
          </w:p>
          <w:p w14:paraId="53CA6C49" w14:textId="77777777"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7.</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ale căror elemente-suport sunt denominate într-o monedă, dar ale căror rezultate sunt decontate într-o monedă diferită, la un curs de schimb prestabilit între cele două monede;</w:t>
            </w:r>
          </w:p>
          <w:p w14:paraId="17A910B4" w14:textId="26CE3CCB"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lastRenderedPageBreak/>
              <w:t>8.</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 xml:space="preserve">opțiuni cu mai multe elemente-suport, cu excepția celor menționate la </w:t>
            </w:r>
            <w:r w:rsidR="00D35FF8">
              <w:rPr>
                <w:rFonts w:ascii="Times New Roman" w:hAnsi="Times New Roman" w:cs="Times New Roman"/>
                <w:bCs/>
                <w:color w:val="000000" w:themeColor="text1"/>
                <w:lang w:val="ro-MD"/>
              </w:rPr>
              <w:t>subpct.3.3 și 3.4 din prezenta anexă</w:t>
            </w:r>
            <w:r w:rsidRPr="00C8691F">
              <w:rPr>
                <w:rFonts w:ascii="Times New Roman" w:hAnsi="Times New Roman" w:cs="Times New Roman"/>
                <w:bCs/>
                <w:color w:val="000000" w:themeColor="text1"/>
                <w:lang w:val="ro-MD"/>
              </w:rPr>
              <w:t>;</w:t>
            </w:r>
          </w:p>
          <w:p w14:paraId="4BF2773F" w14:textId="77777777" w:rsidR="00A5061B" w:rsidRPr="00C8691F" w:rsidRDefault="00A5061B" w:rsidP="00A5061B">
            <w:pPr>
              <w:spacing w:line="276" w:lineRule="auto"/>
              <w:rPr>
                <w:rFonts w:ascii="Times New Roman" w:hAnsi="Times New Roman" w:cs="Times New Roman"/>
                <w:bCs/>
                <w:color w:val="000000" w:themeColor="text1"/>
                <w:lang w:val="ro-MD"/>
              </w:rPr>
            </w:pPr>
            <w:r w:rsidRPr="00C8691F">
              <w:rPr>
                <w:rFonts w:ascii="Times New Roman" w:hAnsi="Times New Roman" w:cs="Times New Roman"/>
                <w:bCs/>
                <w:color w:val="000000" w:themeColor="text1"/>
                <w:lang w:val="ro-MD"/>
              </w:rPr>
              <w:t>9.</w:t>
            </w:r>
            <w:r>
              <w:rPr>
                <w:rFonts w:ascii="Times New Roman" w:hAnsi="Times New Roman" w:cs="Times New Roman"/>
                <w:bCs/>
                <w:color w:val="000000" w:themeColor="text1"/>
                <w:lang w:val="ro-MD"/>
              </w:rPr>
              <w:t xml:space="preserve"> </w:t>
            </w:r>
            <w:r w:rsidRPr="00C8691F">
              <w:rPr>
                <w:rFonts w:ascii="Times New Roman" w:hAnsi="Times New Roman" w:cs="Times New Roman"/>
                <w:bCs/>
                <w:color w:val="000000" w:themeColor="text1"/>
                <w:lang w:val="ro-MD"/>
              </w:rPr>
              <w:t>opțiuni care prezintă risc comportamental, numai în cazul în care sunt îndeplinite toate condițiile următoare:</w:t>
            </w:r>
          </w:p>
          <w:p w14:paraId="2FD58C05" w14:textId="50FEED9E" w:rsidR="00A5061B" w:rsidRPr="00C8691F" w:rsidRDefault="00C75FAE" w:rsidP="00A5061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9.1.</w:t>
            </w:r>
            <w:r w:rsidR="00A5061B">
              <w:rPr>
                <w:rFonts w:ascii="Times New Roman" w:hAnsi="Times New Roman" w:cs="Times New Roman"/>
                <w:bCs/>
                <w:color w:val="000000" w:themeColor="text1"/>
                <w:lang w:val="ro-MD"/>
              </w:rPr>
              <w:t xml:space="preserve"> </w:t>
            </w:r>
            <w:r w:rsidR="00A5061B" w:rsidRPr="00C8691F">
              <w:rPr>
                <w:rFonts w:ascii="Times New Roman" w:hAnsi="Times New Roman" w:cs="Times New Roman"/>
                <w:bCs/>
                <w:color w:val="000000" w:themeColor="text1"/>
                <w:lang w:val="ro-MD"/>
              </w:rPr>
              <w:t>opțiunea este deținută de un client de retail;</w:t>
            </w:r>
          </w:p>
          <w:p w14:paraId="2E697761" w14:textId="5EEEB73D" w:rsidR="00A5061B" w:rsidRPr="00C8691F" w:rsidRDefault="00C75FAE" w:rsidP="00A5061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9.2.</w:t>
            </w:r>
            <w:r w:rsidR="00A5061B">
              <w:rPr>
                <w:rFonts w:ascii="Times New Roman" w:hAnsi="Times New Roman" w:cs="Times New Roman"/>
                <w:bCs/>
                <w:color w:val="000000" w:themeColor="text1"/>
                <w:lang w:val="ro-MD"/>
              </w:rPr>
              <w:t xml:space="preserve"> </w:t>
            </w:r>
            <w:r w:rsidR="00A5061B" w:rsidRPr="00C8691F">
              <w:rPr>
                <w:rFonts w:ascii="Times New Roman" w:hAnsi="Times New Roman" w:cs="Times New Roman"/>
                <w:bCs/>
                <w:color w:val="000000" w:themeColor="text1"/>
                <w:lang w:val="ro-MD"/>
              </w:rPr>
              <w:t>opțiunile în cauză sunt deținute în mare parte în portofoliul de tranzacționare;</w:t>
            </w:r>
          </w:p>
          <w:p w14:paraId="1584AA84" w14:textId="08716235" w:rsidR="007A24CE" w:rsidRPr="007A24CE" w:rsidRDefault="00C75FAE" w:rsidP="00A5061B">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9.3.</w:t>
            </w:r>
            <w:r w:rsidR="00A5061B">
              <w:rPr>
                <w:rFonts w:ascii="Times New Roman" w:hAnsi="Times New Roman" w:cs="Times New Roman"/>
                <w:bCs/>
                <w:color w:val="000000" w:themeColor="text1"/>
                <w:lang w:val="ro-MD"/>
              </w:rPr>
              <w:t xml:space="preserve"> </w:t>
            </w:r>
            <w:r>
              <w:rPr>
                <w:rFonts w:ascii="Times New Roman" w:hAnsi="Times New Roman" w:cs="Times New Roman"/>
                <w:bCs/>
                <w:color w:val="000000" w:themeColor="text1"/>
                <w:lang w:val="ro-MD"/>
              </w:rPr>
              <w:t>banca</w:t>
            </w:r>
            <w:r w:rsidRPr="00C8691F">
              <w:rPr>
                <w:rFonts w:ascii="Times New Roman" w:hAnsi="Times New Roman" w:cs="Times New Roman"/>
                <w:bCs/>
                <w:color w:val="000000" w:themeColor="text1"/>
                <w:lang w:val="ro-MD"/>
              </w:rPr>
              <w:t xml:space="preserve"> </w:t>
            </w:r>
            <w:r w:rsidR="00A5061B" w:rsidRPr="00C8691F">
              <w:rPr>
                <w:rFonts w:ascii="Times New Roman" w:hAnsi="Times New Roman" w:cs="Times New Roman"/>
                <w:bCs/>
                <w:color w:val="000000" w:themeColor="text1"/>
                <w:lang w:val="ro-MD"/>
              </w:rPr>
              <w:t>evaluează riscul comportamental al opțiunilor în cauză ca fiind semnificativ.</w:t>
            </w:r>
            <w:bookmarkEnd w:id="11"/>
          </w:p>
        </w:tc>
        <w:tc>
          <w:tcPr>
            <w:tcW w:w="585" w:type="pct"/>
          </w:tcPr>
          <w:p w14:paraId="1D8E49A5" w14:textId="06E91CE7" w:rsidR="007A24CE" w:rsidRPr="000942FB" w:rsidRDefault="009B7460" w:rsidP="003228C3">
            <w:pPr>
              <w:spacing w:line="276" w:lineRule="auto"/>
              <w:rPr>
                <w:rFonts w:ascii="Times New Roman" w:hAnsi="Times New Roman" w:cs="Times New Roman"/>
                <w:bCs/>
                <w:color w:val="000000" w:themeColor="text1"/>
                <w:lang w:val="ro-MD"/>
              </w:rPr>
            </w:pPr>
            <w:r w:rsidRPr="009B7460">
              <w:rPr>
                <w:rFonts w:ascii="Times New Roman" w:hAnsi="Times New Roman" w:cs="Times New Roman"/>
                <w:bCs/>
                <w:color w:val="000000" w:themeColor="text1"/>
                <w:lang w:val="ro-MD"/>
              </w:rPr>
              <w:lastRenderedPageBreak/>
              <w:t>compatibil</w:t>
            </w:r>
          </w:p>
        </w:tc>
        <w:tc>
          <w:tcPr>
            <w:tcW w:w="1261" w:type="pct"/>
          </w:tcPr>
          <w:p w14:paraId="76AC018D" w14:textId="77777777" w:rsidR="007A24CE" w:rsidRPr="000942FB" w:rsidRDefault="007A24CE" w:rsidP="003228C3">
            <w:pPr>
              <w:spacing w:line="276" w:lineRule="auto"/>
              <w:rPr>
                <w:rFonts w:ascii="Times New Roman" w:hAnsi="Times New Roman" w:cs="Times New Roman"/>
                <w:bCs/>
                <w:color w:val="000000" w:themeColor="text1"/>
                <w:lang w:val="ro-MD"/>
              </w:rPr>
            </w:pPr>
          </w:p>
        </w:tc>
      </w:tr>
    </w:tbl>
    <w:p w14:paraId="53E4FD6A" w14:textId="77777777" w:rsidR="00B65ABB" w:rsidRPr="007A24CE" w:rsidRDefault="00B65ABB">
      <w:pPr>
        <w:rPr>
          <w:lang w:val="ro-MD"/>
        </w:rPr>
      </w:pPr>
    </w:p>
    <w:sectPr w:rsidR="00B65ABB" w:rsidRPr="007A24CE" w:rsidSect="007A24CE">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CAD2" w14:textId="77777777" w:rsidR="007A24CE" w:rsidRDefault="007A24CE" w:rsidP="007A24CE">
      <w:pPr>
        <w:spacing w:after="0" w:line="240" w:lineRule="auto"/>
      </w:pPr>
      <w:r>
        <w:separator/>
      </w:r>
    </w:p>
  </w:endnote>
  <w:endnote w:type="continuationSeparator" w:id="0">
    <w:p w14:paraId="6C59D521" w14:textId="77777777" w:rsidR="007A24CE" w:rsidRDefault="007A24CE" w:rsidP="007A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8C6D" w14:textId="494B2261" w:rsidR="007A24CE" w:rsidRDefault="007A24CE">
    <w:pPr>
      <w:pStyle w:val="Footer"/>
    </w:pPr>
    <w:r>
      <w:rPr>
        <w:noProof/>
      </w:rPr>
      <mc:AlternateContent>
        <mc:Choice Requires="wps">
          <w:drawing>
            <wp:anchor distT="0" distB="0" distL="0" distR="0" simplePos="0" relativeHeight="251662336" behindDoc="0" locked="0" layoutInCell="1" allowOverlap="1" wp14:anchorId="6272BD00" wp14:editId="0FD97B09">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23CCA" w14:textId="2FF2E0A9" w:rsidR="007A24CE" w:rsidRPr="007A24CE" w:rsidRDefault="007A24CE" w:rsidP="007A24CE">
                          <w:pPr>
                            <w:spacing w:after="0"/>
                            <w:rPr>
                              <w:rFonts w:ascii="Calibri" w:eastAsia="Calibri" w:hAnsi="Calibri" w:cs="Calibri"/>
                              <w:noProof/>
                              <w:color w:val="000000"/>
                              <w:sz w:val="16"/>
                              <w:szCs w:val="16"/>
                            </w:rPr>
                          </w:pPr>
                          <w:r w:rsidRPr="007A24C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2BD00"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2A523CCA" w14:textId="2FF2E0A9" w:rsidR="007A24CE" w:rsidRPr="007A24CE" w:rsidRDefault="007A24CE" w:rsidP="007A24CE">
                    <w:pPr>
                      <w:spacing w:after="0"/>
                      <w:rPr>
                        <w:rFonts w:ascii="Calibri" w:eastAsia="Calibri" w:hAnsi="Calibri" w:cs="Calibri"/>
                        <w:noProof/>
                        <w:color w:val="000000"/>
                        <w:sz w:val="16"/>
                        <w:szCs w:val="16"/>
                      </w:rPr>
                    </w:pPr>
                    <w:r w:rsidRPr="007A24C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896750"/>
      <w:docPartObj>
        <w:docPartGallery w:val="Page Numbers (Bottom of Page)"/>
        <w:docPartUnique/>
      </w:docPartObj>
    </w:sdtPr>
    <w:sdtEndPr>
      <w:rPr>
        <w:noProof/>
      </w:rPr>
    </w:sdtEndPr>
    <w:sdtContent>
      <w:p w14:paraId="6EC1E104" w14:textId="69321EA9" w:rsidR="00A6063E" w:rsidRDefault="00A606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54124" w14:textId="18CF9633" w:rsidR="007A24CE" w:rsidRDefault="007A2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CBF7" w14:textId="66301440" w:rsidR="007A24CE" w:rsidRDefault="007A24CE">
    <w:pPr>
      <w:pStyle w:val="Footer"/>
    </w:pPr>
    <w:r>
      <w:rPr>
        <w:noProof/>
      </w:rPr>
      <mc:AlternateContent>
        <mc:Choice Requires="wps">
          <w:drawing>
            <wp:anchor distT="0" distB="0" distL="0" distR="0" simplePos="0" relativeHeight="251661312" behindDoc="0" locked="0" layoutInCell="1" allowOverlap="1" wp14:anchorId="5D85CB6B" wp14:editId="06DCAF1A">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E198C" w14:textId="53F6FB4E" w:rsidR="007A24CE" w:rsidRPr="007A24CE" w:rsidRDefault="007A24CE" w:rsidP="007A24CE">
                          <w:pPr>
                            <w:spacing w:after="0"/>
                            <w:rPr>
                              <w:rFonts w:ascii="Calibri" w:eastAsia="Calibri" w:hAnsi="Calibri" w:cs="Calibri"/>
                              <w:noProof/>
                              <w:color w:val="000000"/>
                              <w:sz w:val="16"/>
                              <w:szCs w:val="16"/>
                            </w:rPr>
                          </w:pPr>
                          <w:r w:rsidRPr="007A24C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5CB6B"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4C0E198C" w14:textId="53F6FB4E" w:rsidR="007A24CE" w:rsidRPr="007A24CE" w:rsidRDefault="007A24CE" w:rsidP="007A24CE">
                    <w:pPr>
                      <w:spacing w:after="0"/>
                      <w:rPr>
                        <w:rFonts w:ascii="Calibri" w:eastAsia="Calibri" w:hAnsi="Calibri" w:cs="Calibri"/>
                        <w:noProof/>
                        <w:color w:val="000000"/>
                        <w:sz w:val="16"/>
                        <w:szCs w:val="16"/>
                      </w:rPr>
                    </w:pPr>
                    <w:r w:rsidRPr="007A24C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8E98" w14:textId="77777777" w:rsidR="007A24CE" w:rsidRDefault="007A24CE" w:rsidP="007A24CE">
      <w:pPr>
        <w:spacing w:after="0" w:line="240" w:lineRule="auto"/>
      </w:pPr>
      <w:r>
        <w:separator/>
      </w:r>
    </w:p>
  </w:footnote>
  <w:footnote w:type="continuationSeparator" w:id="0">
    <w:p w14:paraId="72B3FF7F" w14:textId="77777777" w:rsidR="007A24CE" w:rsidRDefault="007A24CE" w:rsidP="007A2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E67A" w14:textId="107DA571" w:rsidR="007A24CE" w:rsidRDefault="007A24CE">
    <w:pPr>
      <w:pStyle w:val="Header"/>
    </w:pPr>
    <w:r>
      <w:rPr>
        <w:noProof/>
      </w:rPr>
      <mc:AlternateContent>
        <mc:Choice Requires="wps">
          <w:drawing>
            <wp:anchor distT="0" distB="0" distL="0" distR="0" simplePos="0" relativeHeight="251659264" behindDoc="0" locked="0" layoutInCell="1" allowOverlap="1" wp14:anchorId="3F40A7D5" wp14:editId="4378B0AF">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F7C2F" w14:textId="200C0DEA" w:rsidR="007A24CE" w:rsidRPr="007A24CE" w:rsidRDefault="007A24CE" w:rsidP="007A24CE">
                          <w:pPr>
                            <w:spacing w:after="0"/>
                            <w:rPr>
                              <w:rFonts w:ascii="Calibri" w:eastAsia="Calibri" w:hAnsi="Calibri" w:cs="Calibri"/>
                              <w:noProof/>
                              <w:color w:val="000000"/>
                              <w:sz w:val="24"/>
                              <w:szCs w:val="24"/>
                            </w:rPr>
                          </w:pPr>
                          <w:r w:rsidRPr="007A24C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40A7D5"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FBF7C2F" w14:textId="200C0DEA" w:rsidR="007A24CE" w:rsidRPr="007A24CE" w:rsidRDefault="007A24CE" w:rsidP="007A24CE">
                    <w:pPr>
                      <w:spacing w:after="0"/>
                      <w:rPr>
                        <w:rFonts w:ascii="Calibri" w:eastAsia="Calibri" w:hAnsi="Calibri" w:cs="Calibri"/>
                        <w:noProof/>
                        <w:color w:val="000000"/>
                        <w:sz w:val="24"/>
                        <w:szCs w:val="24"/>
                      </w:rPr>
                    </w:pPr>
                    <w:r w:rsidRPr="007A24CE">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53A1" w14:textId="2AC134F0" w:rsidR="007A24CE" w:rsidRDefault="007A24CE">
    <w:pPr>
      <w:pStyle w:val="Header"/>
    </w:pPr>
    <w:r>
      <w:rPr>
        <w:noProof/>
      </w:rPr>
      <mc:AlternateContent>
        <mc:Choice Requires="wps">
          <w:drawing>
            <wp:anchor distT="0" distB="0" distL="0" distR="0" simplePos="0" relativeHeight="251660288" behindDoc="0" locked="0" layoutInCell="1" allowOverlap="1" wp14:anchorId="5118A24B" wp14:editId="48A1240B">
              <wp:simplePos x="1079500" y="450850"/>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4EA0D" w14:textId="19A3982B" w:rsidR="007A24CE" w:rsidRPr="007A24CE" w:rsidRDefault="007A24CE" w:rsidP="007A24CE">
                          <w:pPr>
                            <w:spacing w:after="0"/>
                            <w:rPr>
                              <w:rFonts w:ascii="Calibri" w:eastAsia="Calibri" w:hAnsi="Calibri" w:cs="Calibri"/>
                              <w:noProof/>
                              <w:color w:val="000000"/>
                              <w:sz w:val="24"/>
                              <w:szCs w:val="24"/>
                            </w:rPr>
                          </w:pPr>
                          <w:r w:rsidRPr="007A24C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18A24B"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0954EA0D" w14:textId="19A3982B" w:rsidR="007A24CE" w:rsidRPr="007A24CE" w:rsidRDefault="007A24CE" w:rsidP="007A24CE">
                    <w:pPr>
                      <w:spacing w:after="0"/>
                      <w:rPr>
                        <w:rFonts w:ascii="Calibri" w:eastAsia="Calibri" w:hAnsi="Calibri" w:cs="Calibri"/>
                        <w:noProof/>
                        <w:color w:val="000000"/>
                        <w:sz w:val="24"/>
                        <w:szCs w:val="24"/>
                      </w:rPr>
                    </w:pPr>
                    <w:r w:rsidRPr="007A24CE">
                      <w:rPr>
                        <w:rFonts w:ascii="Calibri" w:eastAsia="Calibri" w:hAnsi="Calibri" w:cs="Calibri"/>
                        <w:noProof/>
                        <w:color w:val="000000"/>
                        <w:sz w:val="24"/>
                        <w:szCs w:val="24"/>
                      </w:rPr>
                      <w:t>SP-2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3DCF" w14:textId="62B74E12" w:rsidR="007A24CE" w:rsidRDefault="007A24CE">
    <w:pPr>
      <w:pStyle w:val="Header"/>
    </w:pPr>
    <w:r>
      <w:rPr>
        <w:noProof/>
      </w:rPr>
      <mc:AlternateContent>
        <mc:Choice Requires="wps">
          <w:drawing>
            <wp:anchor distT="0" distB="0" distL="0" distR="0" simplePos="0" relativeHeight="251658240" behindDoc="0" locked="0" layoutInCell="1" allowOverlap="1" wp14:anchorId="2D3AE587" wp14:editId="7DB0D1E1">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79802" w14:textId="697F7C63" w:rsidR="007A24CE" w:rsidRPr="007A24CE" w:rsidRDefault="007A24CE" w:rsidP="007A24CE">
                          <w:pPr>
                            <w:spacing w:after="0"/>
                            <w:rPr>
                              <w:rFonts w:ascii="Calibri" w:eastAsia="Calibri" w:hAnsi="Calibri" w:cs="Calibri"/>
                              <w:noProof/>
                              <w:color w:val="000000"/>
                              <w:sz w:val="24"/>
                              <w:szCs w:val="24"/>
                            </w:rPr>
                          </w:pPr>
                          <w:r w:rsidRPr="007A24C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3AE587"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65A79802" w14:textId="697F7C63" w:rsidR="007A24CE" w:rsidRPr="007A24CE" w:rsidRDefault="007A24CE" w:rsidP="007A24CE">
                    <w:pPr>
                      <w:spacing w:after="0"/>
                      <w:rPr>
                        <w:rFonts w:ascii="Calibri" w:eastAsia="Calibri" w:hAnsi="Calibri" w:cs="Calibri"/>
                        <w:noProof/>
                        <w:color w:val="000000"/>
                        <w:sz w:val="24"/>
                        <w:szCs w:val="24"/>
                      </w:rPr>
                    </w:pPr>
                    <w:r w:rsidRPr="007A24CE">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63"/>
    <w:rsid w:val="001103DB"/>
    <w:rsid w:val="001C3C1C"/>
    <w:rsid w:val="006B4510"/>
    <w:rsid w:val="006F7E6D"/>
    <w:rsid w:val="00743259"/>
    <w:rsid w:val="007A24CE"/>
    <w:rsid w:val="007A3265"/>
    <w:rsid w:val="008A0482"/>
    <w:rsid w:val="009110A8"/>
    <w:rsid w:val="00987FB4"/>
    <w:rsid w:val="009A2517"/>
    <w:rsid w:val="009B7460"/>
    <w:rsid w:val="00A5061B"/>
    <w:rsid w:val="00A6063E"/>
    <w:rsid w:val="00B65ABB"/>
    <w:rsid w:val="00C75FAE"/>
    <w:rsid w:val="00C8691F"/>
    <w:rsid w:val="00D35FF8"/>
    <w:rsid w:val="00DA6C6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E23F"/>
  <w15:chartTrackingRefBased/>
  <w15:docId w15:val="{AC6FD946-8C2F-4576-8681-95D4AE55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CE"/>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4CE"/>
    <w:pPr>
      <w:tabs>
        <w:tab w:val="center" w:pos="4677"/>
        <w:tab w:val="right" w:pos="9355"/>
      </w:tabs>
      <w:spacing w:after="0" w:line="240" w:lineRule="auto"/>
    </w:pPr>
    <w:rPr>
      <w:kern w:val="2"/>
      <w:lang w:val="ro-MD"/>
      <w14:ligatures w14:val="standardContextual"/>
    </w:rPr>
  </w:style>
  <w:style w:type="character" w:customStyle="1" w:styleId="HeaderChar">
    <w:name w:val="Header Char"/>
    <w:basedOn w:val="DefaultParagraphFont"/>
    <w:link w:val="Header"/>
    <w:uiPriority w:val="99"/>
    <w:rsid w:val="007A24CE"/>
  </w:style>
  <w:style w:type="paragraph" w:styleId="Footer">
    <w:name w:val="footer"/>
    <w:basedOn w:val="Normal"/>
    <w:link w:val="FooterChar"/>
    <w:uiPriority w:val="99"/>
    <w:unhideWhenUsed/>
    <w:rsid w:val="007A24CE"/>
    <w:pPr>
      <w:tabs>
        <w:tab w:val="center" w:pos="4677"/>
        <w:tab w:val="right" w:pos="9355"/>
      </w:tabs>
      <w:spacing w:after="0" w:line="240" w:lineRule="auto"/>
    </w:pPr>
    <w:rPr>
      <w:kern w:val="2"/>
      <w:lang w:val="ro-MD"/>
      <w14:ligatures w14:val="standardContextual"/>
    </w:rPr>
  </w:style>
  <w:style w:type="character" w:customStyle="1" w:styleId="FooterChar">
    <w:name w:val="Footer Char"/>
    <w:basedOn w:val="DefaultParagraphFont"/>
    <w:link w:val="Footer"/>
    <w:uiPriority w:val="99"/>
    <w:rsid w:val="007A24CE"/>
  </w:style>
  <w:style w:type="paragraph" w:styleId="Revision">
    <w:name w:val="Revision"/>
    <w:hidden/>
    <w:uiPriority w:val="99"/>
    <w:semiHidden/>
    <w:rsid w:val="001C3C1C"/>
    <w:pPr>
      <w:spacing w:after="0" w:line="240" w:lineRule="auto"/>
    </w:pPr>
    <w:rPr>
      <w:kern w:val="0"/>
      <w:lang w:val="en-US"/>
      <w14:ligatures w14:val="none"/>
    </w:rPr>
  </w:style>
  <w:style w:type="paragraph" w:styleId="ListParagraph">
    <w:name w:val="List Paragraph"/>
    <w:basedOn w:val="Normal"/>
    <w:uiPriority w:val="34"/>
    <w:qFormat/>
    <w:rsid w:val="001C3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49491">
      <w:bodyDiv w:val="1"/>
      <w:marLeft w:val="0"/>
      <w:marRight w:val="0"/>
      <w:marTop w:val="0"/>
      <w:marBottom w:val="0"/>
      <w:divBdr>
        <w:top w:val="none" w:sz="0" w:space="0" w:color="auto"/>
        <w:left w:val="none" w:sz="0" w:space="0" w:color="auto"/>
        <w:bottom w:val="none" w:sz="0" w:space="0" w:color="auto"/>
        <w:right w:val="none" w:sz="0" w:space="0" w:color="auto"/>
      </w:divBdr>
      <w:divsChild>
        <w:div w:id="1451120163">
          <w:marLeft w:val="0"/>
          <w:marRight w:val="0"/>
          <w:marTop w:val="0"/>
          <w:marBottom w:val="0"/>
          <w:divBdr>
            <w:top w:val="none" w:sz="0" w:space="0" w:color="auto"/>
            <w:left w:val="none" w:sz="0" w:space="0" w:color="auto"/>
            <w:bottom w:val="none" w:sz="0" w:space="0" w:color="auto"/>
            <w:right w:val="none" w:sz="0" w:space="0" w:color="auto"/>
          </w:divBdr>
          <w:divsChild>
            <w:div w:id="13725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016">
      <w:bodyDiv w:val="1"/>
      <w:marLeft w:val="0"/>
      <w:marRight w:val="0"/>
      <w:marTop w:val="0"/>
      <w:marBottom w:val="0"/>
      <w:divBdr>
        <w:top w:val="none" w:sz="0" w:space="0" w:color="auto"/>
        <w:left w:val="none" w:sz="0" w:space="0" w:color="auto"/>
        <w:bottom w:val="none" w:sz="0" w:space="0" w:color="auto"/>
        <w:right w:val="none" w:sz="0" w:space="0" w:color="auto"/>
      </w:divBdr>
    </w:div>
    <w:div w:id="391345352">
      <w:bodyDiv w:val="1"/>
      <w:marLeft w:val="0"/>
      <w:marRight w:val="0"/>
      <w:marTop w:val="0"/>
      <w:marBottom w:val="0"/>
      <w:divBdr>
        <w:top w:val="none" w:sz="0" w:space="0" w:color="auto"/>
        <w:left w:val="none" w:sz="0" w:space="0" w:color="auto"/>
        <w:bottom w:val="none" w:sz="0" w:space="0" w:color="auto"/>
        <w:right w:val="none" w:sz="0" w:space="0" w:color="auto"/>
      </w:divBdr>
      <w:divsChild>
        <w:div w:id="60179034">
          <w:marLeft w:val="0"/>
          <w:marRight w:val="0"/>
          <w:marTop w:val="0"/>
          <w:marBottom w:val="0"/>
          <w:divBdr>
            <w:top w:val="none" w:sz="0" w:space="0" w:color="auto"/>
            <w:left w:val="none" w:sz="0" w:space="0" w:color="auto"/>
            <w:bottom w:val="none" w:sz="0" w:space="0" w:color="auto"/>
            <w:right w:val="none" w:sz="0" w:space="0" w:color="auto"/>
          </w:divBdr>
        </w:div>
      </w:divsChild>
    </w:div>
    <w:div w:id="829758456">
      <w:bodyDiv w:val="1"/>
      <w:marLeft w:val="0"/>
      <w:marRight w:val="0"/>
      <w:marTop w:val="0"/>
      <w:marBottom w:val="0"/>
      <w:divBdr>
        <w:top w:val="none" w:sz="0" w:space="0" w:color="auto"/>
        <w:left w:val="none" w:sz="0" w:space="0" w:color="auto"/>
        <w:bottom w:val="none" w:sz="0" w:space="0" w:color="auto"/>
        <w:right w:val="none" w:sz="0" w:space="0" w:color="auto"/>
      </w:divBdr>
    </w:div>
    <w:div w:id="1057052838">
      <w:bodyDiv w:val="1"/>
      <w:marLeft w:val="0"/>
      <w:marRight w:val="0"/>
      <w:marTop w:val="0"/>
      <w:marBottom w:val="0"/>
      <w:divBdr>
        <w:top w:val="none" w:sz="0" w:space="0" w:color="auto"/>
        <w:left w:val="none" w:sz="0" w:space="0" w:color="auto"/>
        <w:bottom w:val="none" w:sz="0" w:space="0" w:color="auto"/>
        <w:right w:val="none" w:sz="0" w:space="0" w:color="auto"/>
      </w:divBdr>
      <w:divsChild>
        <w:div w:id="777916212">
          <w:marLeft w:val="0"/>
          <w:marRight w:val="0"/>
          <w:marTop w:val="0"/>
          <w:marBottom w:val="0"/>
          <w:divBdr>
            <w:top w:val="none" w:sz="0" w:space="0" w:color="auto"/>
            <w:left w:val="none" w:sz="0" w:space="0" w:color="auto"/>
            <w:bottom w:val="none" w:sz="0" w:space="0" w:color="auto"/>
            <w:right w:val="none" w:sz="0" w:space="0" w:color="auto"/>
          </w:divBdr>
        </w:div>
      </w:divsChild>
    </w:div>
    <w:div w:id="1538665586">
      <w:bodyDiv w:val="1"/>
      <w:marLeft w:val="0"/>
      <w:marRight w:val="0"/>
      <w:marTop w:val="0"/>
      <w:marBottom w:val="0"/>
      <w:divBdr>
        <w:top w:val="none" w:sz="0" w:space="0" w:color="auto"/>
        <w:left w:val="none" w:sz="0" w:space="0" w:color="auto"/>
        <w:bottom w:val="none" w:sz="0" w:space="0" w:color="auto"/>
        <w:right w:val="none" w:sz="0" w:space="0" w:color="auto"/>
      </w:divBdr>
      <w:divsChild>
        <w:div w:id="983125140">
          <w:marLeft w:val="0"/>
          <w:marRight w:val="0"/>
          <w:marTop w:val="0"/>
          <w:marBottom w:val="0"/>
          <w:divBdr>
            <w:top w:val="none" w:sz="0" w:space="0" w:color="auto"/>
            <w:left w:val="none" w:sz="0" w:space="0" w:color="auto"/>
            <w:bottom w:val="none" w:sz="0" w:space="0" w:color="auto"/>
            <w:right w:val="none" w:sz="0" w:space="0" w:color="auto"/>
          </w:divBdr>
        </w:div>
      </w:divsChild>
    </w:div>
    <w:div w:id="1580560421">
      <w:bodyDiv w:val="1"/>
      <w:marLeft w:val="0"/>
      <w:marRight w:val="0"/>
      <w:marTop w:val="0"/>
      <w:marBottom w:val="0"/>
      <w:divBdr>
        <w:top w:val="none" w:sz="0" w:space="0" w:color="auto"/>
        <w:left w:val="none" w:sz="0" w:space="0" w:color="auto"/>
        <w:bottom w:val="none" w:sz="0" w:space="0" w:color="auto"/>
        <w:right w:val="none" w:sz="0" w:space="0" w:color="auto"/>
      </w:divBdr>
      <w:divsChild>
        <w:div w:id="1217275729">
          <w:marLeft w:val="0"/>
          <w:marRight w:val="0"/>
          <w:marTop w:val="0"/>
          <w:marBottom w:val="0"/>
          <w:divBdr>
            <w:top w:val="none" w:sz="0" w:space="0" w:color="auto"/>
            <w:left w:val="none" w:sz="0" w:space="0" w:color="auto"/>
            <w:bottom w:val="none" w:sz="0" w:space="0" w:color="auto"/>
            <w:right w:val="none" w:sz="0" w:space="0" w:color="auto"/>
          </w:divBdr>
        </w:div>
      </w:divsChild>
    </w:div>
    <w:div w:id="1675259225">
      <w:bodyDiv w:val="1"/>
      <w:marLeft w:val="0"/>
      <w:marRight w:val="0"/>
      <w:marTop w:val="0"/>
      <w:marBottom w:val="0"/>
      <w:divBdr>
        <w:top w:val="none" w:sz="0" w:space="0" w:color="auto"/>
        <w:left w:val="none" w:sz="0" w:space="0" w:color="auto"/>
        <w:bottom w:val="none" w:sz="0" w:space="0" w:color="auto"/>
        <w:right w:val="none" w:sz="0" w:space="0" w:color="auto"/>
      </w:divBdr>
    </w:div>
    <w:div w:id="1773432416">
      <w:bodyDiv w:val="1"/>
      <w:marLeft w:val="0"/>
      <w:marRight w:val="0"/>
      <w:marTop w:val="0"/>
      <w:marBottom w:val="0"/>
      <w:divBdr>
        <w:top w:val="none" w:sz="0" w:space="0" w:color="auto"/>
        <w:left w:val="none" w:sz="0" w:space="0" w:color="auto"/>
        <w:bottom w:val="none" w:sz="0" w:space="0" w:color="auto"/>
        <w:right w:val="none" w:sz="0" w:space="0" w:color="auto"/>
      </w:divBdr>
      <w:divsChild>
        <w:div w:id="1161000310">
          <w:marLeft w:val="0"/>
          <w:marRight w:val="0"/>
          <w:marTop w:val="0"/>
          <w:marBottom w:val="0"/>
          <w:divBdr>
            <w:top w:val="none" w:sz="0" w:space="0" w:color="auto"/>
            <w:left w:val="none" w:sz="0" w:space="0" w:color="auto"/>
            <w:bottom w:val="none" w:sz="0" w:space="0" w:color="auto"/>
            <w:right w:val="none" w:sz="0" w:space="0" w:color="auto"/>
          </w:divBdr>
        </w:div>
      </w:divsChild>
    </w:div>
    <w:div w:id="1894122814">
      <w:bodyDiv w:val="1"/>
      <w:marLeft w:val="0"/>
      <w:marRight w:val="0"/>
      <w:marTop w:val="0"/>
      <w:marBottom w:val="0"/>
      <w:divBdr>
        <w:top w:val="none" w:sz="0" w:space="0" w:color="auto"/>
        <w:left w:val="none" w:sz="0" w:space="0" w:color="auto"/>
        <w:bottom w:val="none" w:sz="0" w:space="0" w:color="auto"/>
        <w:right w:val="none" w:sz="0" w:space="0" w:color="auto"/>
      </w:divBdr>
      <w:divsChild>
        <w:div w:id="111676877">
          <w:marLeft w:val="0"/>
          <w:marRight w:val="0"/>
          <w:marTop w:val="0"/>
          <w:marBottom w:val="0"/>
          <w:divBdr>
            <w:top w:val="none" w:sz="0" w:space="0" w:color="auto"/>
            <w:left w:val="none" w:sz="0" w:space="0" w:color="auto"/>
            <w:bottom w:val="none" w:sz="0" w:space="0" w:color="auto"/>
            <w:right w:val="none" w:sz="0" w:space="0" w:color="auto"/>
          </w:divBdr>
        </w:div>
      </w:divsChild>
    </w:div>
    <w:div w:id="2061784678">
      <w:bodyDiv w:val="1"/>
      <w:marLeft w:val="0"/>
      <w:marRight w:val="0"/>
      <w:marTop w:val="0"/>
      <w:marBottom w:val="0"/>
      <w:divBdr>
        <w:top w:val="none" w:sz="0" w:space="0" w:color="auto"/>
        <w:left w:val="none" w:sz="0" w:space="0" w:color="auto"/>
        <w:bottom w:val="none" w:sz="0" w:space="0" w:color="auto"/>
        <w:right w:val="none" w:sz="0" w:space="0" w:color="auto"/>
      </w:divBdr>
    </w:div>
    <w:div w:id="2120491328">
      <w:bodyDiv w:val="1"/>
      <w:marLeft w:val="0"/>
      <w:marRight w:val="0"/>
      <w:marTop w:val="0"/>
      <w:marBottom w:val="0"/>
      <w:divBdr>
        <w:top w:val="none" w:sz="0" w:space="0" w:color="auto"/>
        <w:left w:val="none" w:sz="0" w:space="0" w:color="auto"/>
        <w:bottom w:val="none" w:sz="0" w:space="0" w:color="auto"/>
        <w:right w:val="none" w:sz="0" w:space="0" w:color="auto"/>
      </w:divBdr>
      <w:divsChild>
        <w:div w:id="155092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1363</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2025-04-14T07:49:00Z</dcterms:created>
  <dcterms:modified xsi:type="dcterms:W3CDTF">2026-06-19T10:26:00Z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2025-04-14T07:49:12Z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30867b1b-142f-498d-9acc-40e58aa34394</vt:lpwstr>
  </property>
  <property fmtid="{D5CDD505-2E9C-101B-9397-08002B2CF9AE}" pid="14" name="MSIP_Label_70108aff-3426-4749-9d04-de3a5077dcce_ContentBits">
    <vt:lpwstr>3</vt:lpwstr>
  </property>
</Properties>
</file>